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sTabela2"/>
        <w:tblW w:w="9009" w:type="dxa"/>
        <w:tblLook w:val="0420" w:firstRow="1" w:lastRow="0" w:firstColumn="0" w:lastColumn="0" w:noHBand="0" w:noVBand="1"/>
      </w:tblPr>
      <w:tblGrid>
        <w:gridCol w:w="9009"/>
      </w:tblGrid>
      <w:tr w:rsidR="00145A14" w:rsidRPr="00E16FBE" w14:paraId="57223B58" w14:textId="77777777" w:rsidTr="00E1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009" w:type="dxa"/>
          </w:tcPr>
          <w:p w14:paraId="65ADC9C3" w14:textId="20111B7A" w:rsidR="00145A14" w:rsidRPr="00E16FBE" w:rsidRDefault="008F4CBC" w:rsidP="00E16FBE">
            <w:pPr>
              <w:spacing w:line="288" w:lineRule="auto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E16FBE">
              <w:rPr>
                <w:rFonts w:cstheme="minorHAnsi"/>
                <w:sz w:val="21"/>
                <w:szCs w:val="21"/>
              </w:rPr>
              <w:t xml:space="preserve">RESPOSTA </w:t>
            </w:r>
            <w:r w:rsidR="00CD2732" w:rsidRPr="00E16FBE">
              <w:rPr>
                <w:rFonts w:cstheme="minorHAnsi"/>
                <w:sz w:val="21"/>
                <w:szCs w:val="21"/>
              </w:rPr>
              <w:t>AO PEDIDO DE</w:t>
            </w:r>
            <w:r w:rsidRPr="00E16FBE">
              <w:rPr>
                <w:rFonts w:cstheme="minorHAnsi"/>
                <w:sz w:val="21"/>
                <w:szCs w:val="21"/>
              </w:rPr>
              <w:t xml:space="preserve"> IMPUGNAÇÃ</w:t>
            </w:r>
            <w:r w:rsidR="00557093" w:rsidRPr="00E16FBE">
              <w:rPr>
                <w:rFonts w:cstheme="minorHAnsi"/>
                <w:sz w:val="21"/>
                <w:szCs w:val="21"/>
              </w:rPr>
              <w:t xml:space="preserve">O </w:t>
            </w:r>
            <w:r w:rsidR="00B95D39">
              <w:rPr>
                <w:rFonts w:cstheme="minorHAnsi"/>
                <w:sz w:val="21"/>
                <w:szCs w:val="21"/>
              </w:rPr>
              <w:t>01</w:t>
            </w:r>
            <w:r w:rsidR="005F7279" w:rsidRPr="00E16FBE">
              <w:rPr>
                <w:rFonts w:cstheme="minorHAnsi"/>
                <w:sz w:val="21"/>
                <w:szCs w:val="21"/>
              </w:rPr>
              <w:t>/</w:t>
            </w:r>
            <w:r w:rsidR="00CD2732" w:rsidRPr="00E16FBE">
              <w:rPr>
                <w:rFonts w:cstheme="minorHAnsi"/>
                <w:sz w:val="21"/>
                <w:szCs w:val="21"/>
              </w:rPr>
              <w:t>202</w:t>
            </w:r>
            <w:r w:rsidR="00B95D39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14:paraId="574B8253" w14:textId="77777777" w:rsidR="00145A14" w:rsidRPr="00E16FBE" w:rsidRDefault="00145A14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2BF5F1F3" w14:textId="7A1B7554" w:rsidR="00D107CB" w:rsidRPr="00E16FBE" w:rsidRDefault="002949E7" w:rsidP="00E16FBE">
      <w:pPr>
        <w:spacing w:after="0" w:line="288" w:lineRule="auto"/>
        <w:contextualSpacing/>
        <w:jc w:val="right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>Belo Horizonte</w:t>
      </w:r>
      <w:r w:rsidR="00D107CB" w:rsidRPr="00E16FBE">
        <w:rPr>
          <w:rFonts w:cstheme="minorHAnsi"/>
          <w:sz w:val="21"/>
          <w:szCs w:val="21"/>
        </w:rPr>
        <w:t>,</w:t>
      </w:r>
      <w:r w:rsidR="0041010E" w:rsidRPr="00E16FBE">
        <w:rPr>
          <w:rFonts w:cstheme="minorHAnsi"/>
          <w:sz w:val="21"/>
          <w:szCs w:val="21"/>
        </w:rPr>
        <w:t xml:space="preserve"> </w:t>
      </w:r>
      <w:r w:rsidR="00B95D39">
        <w:rPr>
          <w:rFonts w:cstheme="minorHAnsi"/>
          <w:sz w:val="21"/>
          <w:szCs w:val="21"/>
        </w:rPr>
        <w:t>22</w:t>
      </w:r>
      <w:r w:rsidR="00E16FBE" w:rsidRPr="00E16FBE">
        <w:rPr>
          <w:rFonts w:cstheme="minorHAnsi"/>
          <w:sz w:val="21"/>
          <w:szCs w:val="21"/>
        </w:rPr>
        <w:t xml:space="preserve"> de </w:t>
      </w:r>
      <w:r w:rsidR="00B95D39">
        <w:rPr>
          <w:rFonts w:cstheme="minorHAnsi"/>
          <w:sz w:val="21"/>
          <w:szCs w:val="21"/>
        </w:rPr>
        <w:t>julho</w:t>
      </w:r>
      <w:r w:rsidR="00E16FBE" w:rsidRPr="00E16FBE">
        <w:rPr>
          <w:rFonts w:cstheme="minorHAnsi"/>
          <w:sz w:val="21"/>
          <w:szCs w:val="21"/>
        </w:rPr>
        <w:t xml:space="preserve"> de 202</w:t>
      </w:r>
      <w:r w:rsidR="00B95D39">
        <w:rPr>
          <w:rFonts w:cstheme="minorHAnsi"/>
          <w:sz w:val="21"/>
          <w:szCs w:val="21"/>
        </w:rPr>
        <w:t>5</w:t>
      </w:r>
      <w:r w:rsidR="0041010E" w:rsidRPr="00E16FBE">
        <w:rPr>
          <w:rFonts w:cstheme="minorHAnsi"/>
          <w:sz w:val="21"/>
          <w:szCs w:val="21"/>
        </w:rPr>
        <w:t>.</w:t>
      </w:r>
      <w:r w:rsidR="00D107CB" w:rsidRPr="00E16FBE">
        <w:rPr>
          <w:rFonts w:cstheme="minorHAnsi"/>
          <w:sz w:val="21"/>
          <w:szCs w:val="21"/>
        </w:rPr>
        <w:t xml:space="preserve"> </w:t>
      </w:r>
    </w:p>
    <w:p w14:paraId="0D533F3A" w14:textId="77777777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192B4D42" w14:textId="041BCE5C" w:rsidR="005B2C05" w:rsidRDefault="005B2C05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F22946">
        <w:rPr>
          <w:rFonts w:cstheme="minorHAnsi"/>
          <w:sz w:val="21"/>
          <w:szCs w:val="21"/>
        </w:rPr>
        <w:t xml:space="preserve">Trata-se de Impugnação ao Edital do Pregão Eletrônico Sesc em Minas n.º </w:t>
      </w:r>
      <w:r w:rsidR="0041010E" w:rsidRPr="00F22946">
        <w:rPr>
          <w:rFonts w:cstheme="minorHAnsi"/>
          <w:sz w:val="21"/>
          <w:szCs w:val="21"/>
        </w:rPr>
        <w:t>000</w:t>
      </w:r>
      <w:r w:rsidR="00B95D39" w:rsidRPr="00F22946">
        <w:rPr>
          <w:rFonts w:cstheme="minorHAnsi"/>
          <w:sz w:val="21"/>
          <w:szCs w:val="21"/>
        </w:rPr>
        <w:t>061</w:t>
      </w:r>
      <w:r w:rsidR="004A6C99" w:rsidRPr="00F22946">
        <w:rPr>
          <w:rFonts w:cstheme="minorHAnsi"/>
          <w:sz w:val="21"/>
          <w:szCs w:val="21"/>
        </w:rPr>
        <w:t>-</w:t>
      </w:r>
      <w:r w:rsidR="00B95D39" w:rsidRPr="00F22946">
        <w:rPr>
          <w:rFonts w:cstheme="minorHAnsi"/>
          <w:sz w:val="21"/>
          <w:szCs w:val="21"/>
        </w:rPr>
        <w:t>25</w:t>
      </w:r>
      <w:r w:rsidRPr="00F22946">
        <w:rPr>
          <w:rFonts w:cstheme="minorHAnsi"/>
          <w:sz w:val="21"/>
          <w:szCs w:val="21"/>
        </w:rPr>
        <w:t xml:space="preserve"> – Processo nº </w:t>
      </w:r>
      <w:r w:rsidR="00B95D39" w:rsidRPr="00F22946">
        <w:rPr>
          <w:rFonts w:cstheme="minorHAnsi"/>
          <w:sz w:val="21"/>
          <w:szCs w:val="21"/>
        </w:rPr>
        <w:t>004001-08170</w:t>
      </w:r>
      <w:r w:rsidRPr="00F22946">
        <w:rPr>
          <w:rFonts w:cstheme="minorHAnsi"/>
          <w:sz w:val="21"/>
          <w:szCs w:val="21"/>
        </w:rPr>
        <w:t xml:space="preserve">, cujo objeto é </w:t>
      </w:r>
      <w:r w:rsidR="00B95D39" w:rsidRPr="00F22946">
        <w:rPr>
          <w:rFonts w:cstheme="minorHAnsi"/>
          <w:sz w:val="21"/>
          <w:szCs w:val="21"/>
        </w:rPr>
        <w:t xml:space="preserve">Contratação de empresa especializada na prestação de serviços terceirizados de limpeza, asseio e conservação com fornecimento de mão de </w:t>
      </w:r>
      <w:r w:rsidR="00F22946" w:rsidRPr="00F22946">
        <w:rPr>
          <w:rFonts w:cstheme="minorHAnsi"/>
          <w:sz w:val="21"/>
          <w:szCs w:val="21"/>
        </w:rPr>
        <w:t>obra, materiais, equipamentos e insumos para atender as unidades do Sesc em Minas.</w:t>
      </w:r>
      <w:r w:rsidR="00F22946">
        <w:rPr>
          <w:rFonts w:cstheme="minorHAnsi"/>
          <w:sz w:val="21"/>
          <w:szCs w:val="21"/>
        </w:rPr>
        <w:t xml:space="preserve"> </w:t>
      </w:r>
    </w:p>
    <w:p w14:paraId="5429DE59" w14:textId="77777777" w:rsidR="00F22946" w:rsidRPr="00E16FBE" w:rsidRDefault="00F22946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2D3F910E" w14:textId="77777777" w:rsidR="005B2C05" w:rsidRPr="00E16FBE" w:rsidRDefault="005B2C05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1 - DA TEMPESTIVIDADE</w:t>
      </w:r>
    </w:p>
    <w:p w14:paraId="4224589B" w14:textId="77777777" w:rsidR="0041010E" w:rsidRPr="00E16FBE" w:rsidRDefault="0041010E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7AAC82C6" w14:textId="721D9682" w:rsidR="005B2C05" w:rsidRPr="00E16FBE" w:rsidRDefault="005B2C05" w:rsidP="00E16FBE">
      <w:pPr>
        <w:spacing w:after="0" w:line="288" w:lineRule="auto"/>
        <w:contextualSpacing/>
        <w:jc w:val="both"/>
        <w:rPr>
          <w:rFonts w:cstheme="minorHAnsi"/>
          <w:color w:val="FF0000"/>
          <w:sz w:val="21"/>
          <w:szCs w:val="21"/>
        </w:rPr>
      </w:pPr>
      <w:r w:rsidRPr="00F22946">
        <w:rPr>
          <w:rFonts w:cstheme="minorHAnsi"/>
          <w:sz w:val="21"/>
          <w:szCs w:val="21"/>
        </w:rPr>
        <w:t xml:space="preserve">Conforme item 4.1. do </w:t>
      </w:r>
      <w:r w:rsidR="003610ED" w:rsidRPr="00F22946">
        <w:rPr>
          <w:rFonts w:cstheme="minorHAnsi"/>
          <w:sz w:val="21"/>
          <w:szCs w:val="21"/>
        </w:rPr>
        <w:t>E</w:t>
      </w:r>
      <w:r w:rsidRPr="00F22946">
        <w:rPr>
          <w:rFonts w:cstheme="minorHAnsi"/>
          <w:sz w:val="21"/>
          <w:szCs w:val="21"/>
        </w:rPr>
        <w:t>dital c</w:t>
      </w:r>
      <w:r w:rsidRPr="00E16FBE">
        <w:rPr>
          <w:rFonts w:cstheme="minorHAnsi"/>
          <w:sz w:val="21"/>
          <w:szCs w:val="21"/>
        </w:rPr>
        <w:t xml:space="preserve">onvocatório, o prazo fatal para a apresentação de impugnação é de até </w:t>
      </w:r>
      <w:r w:rsidR="00F22946">
        <w:rPr>
          <w:rFonts w:cstheme="minorHAnsi"/>
          <w:sz w:val="21"/>
          <w:szCs w:val="21"/>
        </w:rPr>
        <w:t>03</w:t>
      </w:r>
      <w:r w:rsidRPr="00E16FBE">
        <w:rPr>
          <w:rFonts w:cstheme="minorHAnsi"/>
          <w:sz w:val="21"/>
          <w:szCs w:val="21"/>
        </w:rPr>
        <w:t xml:space="preserve"> (</w:t>
      </w:r>
      <w:r w:rsidR="001B6E06">
        <w:rPr>
          <w:rFonts w:cstheme="minorHAnsi"/>
          <w:sz w:val="21"/>
          <w:szCs w:val="21"/>
        </w:rPr>
        <w:t>três</w:t>
      </w:r>
      <w:r w:rsidRPr="00E16FBE">
        <w:rPr>
          <w:rFonts w:cstheme="minorHAnsi"/>
          <w:sz w:val="21"/>
          <w:szCs w:val="21"/>
        </w:rPr>
        <w:t xml:space="preserve">) dias úteis </w:t>
      </w:r>
      <w:r w:rsidRPr="00F22946">
        <w:rPr>
          <w:rFonts w:cstheme="minorHAnsi"/>
          <w:sz w:val="21"/>
          <w:szCs w:val="21"/>
        </w:rPr>
        <w:t>anteriores à data de abertura da Sessão de Licitação, excluindo-se da contagem a data da sessão, programada</w:t>
      </w:r>
      <w:r w:rsidR="00232CA2">
        <w:rPr>
          <w:rFonts w:cstheme="minorHAnsi"/>
          <w:sz w:val="21"/>
          <w:szCs w:val="21"/>
        </w:rPr>
        <w:t xml:space="preserve"> inicialmente</w:t>
      </w:r>
      <w:r w:rsidRPr="00F22946">
        <w:rPr>
          <w:rFonts w:cstheme="minorHAnsi"/>
          <w:sz w:val="21"/>
          <w:szCs w:val="21"/>
        </w:rPr>
        <w:t xml:space="preserve"> para </w:t>
      </w:r>
      <w:r w:rsidR="00232CA2">
        <w:rPr>
          <w:rFonts w:cstheme="minorHAnsi"/>
          <w:sz w:val="21"/>
          <w:szCs w:val="21"/>
        </w:rPr>
        <w:t>21</w:t>
      </w:r>
      <w:r w:rsidR="003610ED" w:rsidRPr="00F22946">
        <w:rPr>
          <w:rFonts w:cstheme="minorHAnsi"/>
          <w:sz w:val="21"/>
          <w:szCs w:val="21"/>
        </w:rPr>
        <w:t>/</w:t>
      </w:r>
      <w:r w:rsidR="00F22946" w:rsidRPr="00F22946">
        <w:rPr>
          <w:rFonts w:cstheme="minorHAnsi"/>
          <w:sz w:val="21"/>
          <w:szCs w:val="21"/>
        </w:rPr>
        <w:t>07</w:t>
      </w:r>
      <w:r w:rsidR="003610ED" w:rsidRPr="00F22946">
        <w:rPr>
          <w:rFonts w:cstheme="minorHAnsi"/>
          <w:sz w:val="21"/>
          <w:szCs w:val="21"/>
        </w:rPr>
        <w:t>/</w:t>
      </w:r>
      <w:r w:rsidR="00F22946" w:rsidRPr="00F22946">
        <w:rPr>
          <w:rFonts w:cstheme="minorHAnsi"/>
          <w:sz w:val="21"/>
          <w:szCs w:val="21"/>
        </w:rPr>
        <w:t>2025</w:t>
      </w:r>
      <w:r w:rsidR="003610ED" w:rsidRPr="00F22946">
        <w:rPr>
          <w:rFonts w:cstheme="minorHAnsi"/>
          <w:sz w:val="21"/>
          <w:szCs w:val="21"/>
        </w:rPr>
        <w:t>.</w:t>
      </w:r>
      <w:r w:rsidRPr="00F22946">
        <w:rPr>
          <w:rFonts w:cstheme="minorHAnsi"/>
          <w:color w:val="FF0000"/>
          <w:sz w:val="21"/>
          <w:szCs w:val="21"/>
        </w:rPr>
        <w:t xml:space="preserve"> </w:t>
      </w:r>
      <w:r w:rsidRPr="00F22946">
        <w:rPr>
          <w:rFonts w:cstheme="minorHAnsi"/>
          <w:sz w:val="21"/>
          <w:szCs w:val="21"/>
        </w:rPr>
        <w:t>Dessa</w:t>
      </w:r>
      <w:r w:rsidRPr="00E16FBE">
        <w:rPr>
          <w:rFonts w:cstheme="minorHAnsi"/>
          <w:sz w:val="21"/>
          <w:szCs w:val="21"/>
        </w:rPr>
        <w:t xml:space="preserve"> forma, considerando que </w:t>
      </w:r>
      <w:r w:rsidR="00232CA2">
        <w:rPr>
          <w:rFonts w:cstheme="minorHAnsi"/>
          <w:sz w:val="21"/>
          <w:szCs w:val="21"/>
        </w:rPr>
        <w:t>a</w:t>
      </w:r>
      <w:r w:rsidRPr="00E16FBE">
        <w:rPr>
          <w:rFonts w:cstheme="minorHAnsi"/>
          <w:sz w:val="21"/>
          <w:szCs w:val="21"/>
        </w:rPr>
        <w:t xml:space="preserve"> impugnaç</w:t>
      </w:r>
      <w:r w:rsidR="00232CA2">
        <w:rPr>
          <w:rFonts w:cstheme="minorHAnsi"/>
          <w:sz w:val="21"/>
          <w:szCs w:val="21"/>
        </w:rPr>
        <w:t>ão</w:t>
      </w:r>
      <w:r w:rsidR="00F22946">
        <w:rPr>
          <w:rFonts w:cstheme="minorHAnsi"/>
          <w:sz w:val="21"/>
          <w:szCs w:val="21"/>
        </w:rPr>
        <w:t xml:space="preserve"> fo</w:t>
      </w:r>
      <w:r w:rsidR="00232CA2">
        <w:rPr>
          <w:rFonts w:cstheme="minorHAnsi"/>
          <w:sz w:val="21"/>
          <w:szCs w:val="21"/>
        </w:rPr>
        <w:t xml:space="preserve">i </w:t>
      </w:r>
      <w:r w:rsidRPr="00E16FBE">
        <w:rPr>
          <w:rFonts w:cstheme="minorHAnsi"/>
          <w:sz w:val="21"/>
          <w:szCs w:val="21"/>
        </w:rPr>
        <w:t xml:space="preserve">apresentada </w:t>
      </w:r>
      <w:r w:rsidRPr="00F22946">
        <w:rPr>
          <w:rFonts w:cstheme="minorHAnsi"/>
          <w:sz w:val="21"/>
          <w:szCs w:val="21"/>
        </w:rPr>
        <w:t xml:space="preserve">em </w:t>
      </w:r>
      <w:r w:rsidR="00F22946" w:rsidRPr="00F22946">
        <w:rPr>
          <w:rFonts w:cstheme="minorHAnsi"/>
          <w:sz w:val="21"/>
          <w:szCs w:val="21"/>
        </w:rPr>
        <w:t>15</w:t>
      </w:r>
      <w:r w:rsidR="0041010E" w:rsidRPr="00F22946">
        <w:rPr>
          <w:rFonts w:cstheme="minorHAnsi"/>
          <w:sz w:val="21"/>
          <w:szCs w:val="21"/>
        </w:rPr>
        <w:t>/</w:t>
      </w:r>
      <w:r w:rsidR="00F22946" w:rsidRPr="00F22946">
        <w:rPr>
          <w:rFonts w:cstheme="minorHAnsi"/>
          <w:sz w:val="21"/>
          <w:szCs w:val="21"/>
        </w:rPr>
        <w:t>07</w:t>
      </w:r>
      <w:r w:rsidR="0041010E" w:rsidRPr="00F22946">
        <w:rPr>
          <w:rFonts w:cstheme="minorHAnsi"/>
          <w:sz w:val="21"/>
          <w:szCs w:val="21"/>
        </w:rPr>
        <w:t>/</w:t>
      </w:r>
      <w:r w:rsidR="00F22946" w:rsidRPr="00F22946">
        <w:rPr>
          <w:rFonts w:cstheme="minorHAnsi"/>
          <w:sz w:val="21"/>
          <w:szCs w:val="21"/>
        </w:rPr>
        <w:t>2025</w:t>
      </w:r>
      <w:r w:rsidRPr="00F22946">
        <w:rPr>
          <w:rFonts w:cstheme="minorHAnsi"/>
          <w:sz w:val="21"/>
          <w:szCs w:val="21"/>
        </w:rPr>
        <w:t>, esta fo</w:t>
      </w:r>
      <w:r w:rsidR="00232CA2">
        <w:rPr>
          <w:rFonts w:cstheme="minorHAnsi"/>
          <w:sz w:val="21"/>
          <w:szCs w:val="21"/>
        </w:rPr>
        <w:t>i</w:t>
      </w:r>
      <w:r w:rsidRPr="00E16FBE">
        <w:rPr>
          <w:rFonts w:cstheme="minorHAnsi"/>
          <w:sz w:val="21"/>
          <w:szCs w:val="21"/>
        </w:rPr>
        <w:t xml:space="preserve"> tempestiva.</w:t>
      </w:r>
    </w:p>
    <w:p w14:paraId="4721EB14" w14:textId="77777777" w:rsidR="005B2C05" w:rsidRPr="00E16FBE" w:rsidRDefault="005B2C05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7B442F8F" w14:textId="4967B2A0" w:rsidR="005B2C05" w:rsidRPr="00E16FBE" w:rsidRDefault="005B2C05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2 – DA IMPUGNAÇÃO</w:t>
      </w:r>
    </w:p>
    <w:p w14:paraId="3FEB855A" w14:textId="77777777" w:rsidR="0041010E" w:rsidRPr="00E16FBE" w:rsidRDefault="0041010E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4DAD3A78" w14:textId="3750BE46" w:rsidR="008F4CBC" w:rsidRPr="00E16FBE" w:rsidRDefault="005B2C05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 xml:space="preserve">Desta feita, abaixo transcrevemos trechos para entendimento do ponto impugnado, em síntese, é impugnado </w:t>
      </w:r>
      <w:r w:rsidR="00232CA2">
        <w:rPr>
          <w:rFonts w:cstheme="minorHAnsi"/>
          <w:sz w:val="21"/>
          <w:szCs w:val="21"/>
        </w:rPr>
        <w:t>o item 9.5.1 do Edital</w:t>
      </w:r>
      <w:r w:rsidRPr="00E16FBE">
        <w:rPr>
          <w:rFonts w:cstheme="minorHAnsi"/>
          <w:sz w:val="21"/>
          <w:szCs w:val="21"/>
        </w:rPr>
        <w:t xml:space="preserve">, alegando a impugnante o seguinte:  </w:t>
      </w:r>
    </w:p>
    <w:p w14:paraId="3795F033" w14:textId="3A0B08C6" w:rsidR="003610ED" w:rsidRPr="00E16FBE" w:rsidRDefault="009217CB" w:rsidP="00E16FBE">
      <w:pPr>
        <w:spacing w:after="0" w:line="288" w:lineRule="auto"/>
        <w:ind w:left="2268"/>
        <w:contextualSpacing/>
        <w:jc w:val="both"/>
        <w:rPr>
          <w:rFonts w:cstheme="minorHAnsi"/>
          <w:sz w:val="21"/>
          <w:szCs w:val="21"/>
        </w:rPr>
      </w:pPr>
      <w:r w:rsidRPr="00207266">
        <w:rPr>
          <w:rFonts w:cstheme="minorHAnsi"/>
          <w:sz w:val="21"/>
          <w:szCs w:val="21"/>
        </w:rPr>
        <w:t>“</w:t>
      </w:r>
      <w:r w:rsidR="00232CA2" w:rsidRPr="00207266">
        <w:rPr>
          <w:rFonts w:cstheme="minorHAnsi"/>
          <w:sz w:val="21"/>
          <w:szCs w:val="21"/>
        </w:rPr>
        <w:t>É irregular estabelecer limitações temporais para a aceitação de atestados de capacidade técnica. É vedada a fixação de prazo de validade de atestados de capacidade técnica. TCU tem jurisprudência no sentido de que é ilegal exigir prazos de validade em atestados de capacidade técnica em editais de licitação, exceto se houver justificativa técnica plausível e devidamente fundamentada. A exigência de prazos pode ser considerada restritiva e limitar a participação de empresas, indo contra o princípio da competitividade.</w:t>
      </w:r>
      <w:r w:rsidR="003610ED" w:rsidRPr="00207266">
        <w:rPr>
          <w:rFonts w:cstheme="minorHAnsi"/>
          <w:sz w:val="21"/>
          <w:szCs w:val="21"/>
        </w:rPr>
        <w:t>”</w:t>
      </w:r>
    </w:p>
    <w:p w14:paraId="4D36FA18" w14:textId="77777777" w:rsidR="00077748" w:rsidRPr="00E16FBE" w:rsidRDefault="00077748" w:rsidP="00E16FBE">
      <w:pPr>
        <w:spacing w:after="0" w:line="288" w:lineRule="auto"/>
        <w:ind w:left="2268"/>
        <w:contextualSpacing/>
        <w:jc w:val="both"/>
        <w:rPr>
          <w:rFonts w:cstheme="minorHAnsi"/>
          <w:sz w:val="21"/>
          <w:szCs w:val="21"/>
        </w:rPr>
      </w:pPr>
    </w:p>
    <w:p w14:paraId="15686C29" w14:textId="0C85357F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3 – DA NATUREZA JURÍDICA DO SESC</w:t>
      </w:r>
    </w:p>
    <w:p w14:paraId="6BD37442" w14:textId="77777777" w:rsidR="0041010E" w:rsidRPr="00E16FBE" w:rsidRDefault="0041010E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3BEF61D1" w14:textId="77777777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>Inicialmente, cabe ressaltar que o Sesc não é entidade pública, por conseguinte, não é integrante da Administração Pública, seja ela direta ou indireta. Trata-se de Instituição de direito privado sem qualquer vinculação ao Estado, criada em 13/09/1946 por meio do Decreto-Lei nº 9.853, com objetivo de contribuir para a qualificação do mercado pela formação e valorização do trabalhador, tendo como escopo, ainda, a assistência social nas áreas de educação, saúde, cultura, esporte e lazer.</w:t>
      </w:r>
    </w:p>
    <w:p w14:paraId="69886192" w14:textId="696912C6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>Aliás, além de estar previsto no artigo 2º do Decreto-Lei nº 9.853 de 13/09/1946, de forma expressa, que o Sesc possui personalidade jurídica de direito privado, a própria Constituição Federal</w:t>
      </w:r>
      <w:r w:rsidR="00563FA3" w:rsidRPr="00E16FBE">
        <w:rPr>
          <w:rFonts w:cstheme="minorHAnsi"/>
          <w:sz w:val="21"/>
          <w:szCs w:val="21"/>
        </w:rPr>
        <w:t xml:space="preserve"> de </w:t>
      </w:r>
      <w:r w:rsidRPr="00E16FBE">
        <w:rPr>
          <w:rFonts w:cstheme="minorHAnsi"/>
          <w:sz w:val="21"/>
          <w:szCs w:val="21"/>
        </w:rPr>
        <w:t>1988, em seu artigo 240, dispõe que os serviços sociais autônomos e de formação profissional vinculados ao sistema sindical são instituições privadas, e não públicas, como equivocadamente está sendo enquadrado.</w:t>
      </w:r>
    </w:p>
    <w:p w14:paraId="3014054B" w14:textId="0E24A13A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 xml:space="preserve">Destarte, importante salientar que, em matéria de licitações para contratações de prestadores de serviços ou fornecedores, o Sesc em Minas se sujeita às regras estabelecidas pelo Regulamento de Licitações e Contatos próprio, consolidado pela Resolução nº </w:t>
      </w:r>
      <w:r w:rsidR="00563FA3" w:rsidRPr="00E16FBE">
        <w:rPr>
          <w:rFonts w:cstheme="minorHAnsi"/>
          <w:b/>
          <w:sz w:val="21"/>
          <w:szCs w:val="21"/>
        </w:rPr>
        <w:t>1593</w:t>
      </w:r>
      <w:r w:rsidRPr="00E16FBE">
        <w:rPr>
          <w:rFonts w:cstheme="minorHAnsi"/>
          <w:b/>
          <w:sz w:val="21"/>
          <w:szCs w:val="21"/>
        </w:rPr>
        <w:t>/20</w:t>
      </w:r>
      <w:r w:rsidR="00563FA3" w:rsidRPr="00E16FBE">
        <w:rPr>
          <w:rFonts w:cstheme="minorHAnsi"/>
          <w:b/>
          <w:sz w:val="21"/>
          <w:szCs w:val="21"/>
        </w:rPr>
        <w:t>24</w:t>
      </w:r>
      <w:r w:rsidRPr="00E16FBE">
        <w:rPr>
          <w:rFonts w:cstheme="minorHAnsi"/>
          <w:b/>
          <w:sz w:val="21"/>
          <w:szCs w:val="21"/>
        </w:rPr>
        <w:t>, de 0</w:t>
      </w:r>
      <w:r w:rsidR="00563FA3" w:rsidRPr="00E16FBE">
        <w:rPr>
          <w:rFonts w:cstheme="minorHAnsi"/>
          <w:b/>
          <w:sz w:val="21"/>
          <w:szCs w:val="21"/>
        </w:rPr>
        <w:t>2</w:t>
      </w:r>
      <w:r w:rsidRPr="00E16FBE">
        <w:rPr>
          <w:rFonts w:cstheme="minorHAnsi"/>
          <w:b/>
          <w:sz w:val="21"/>
          <w:szCs w:val="21"/>
        </w:rPr>
        <w:t>/0</w:t>
      </w:r>
      <w:r w:rsidR="00563FA3" w:rsidRPr="00E16FBE">
        <w:rPr>
          <w:rFonts w:cstheme="minorHAnsi"/>
          <w:b/>
          <w:sz w:val="21"/>
          <w:szCs w:val="21"/>
        </w:rPr>
        <w:t>5</w:t>
      </w:r>
      <w:r w:rsidRPr="00E16FBE">
        <w:rPr>
          <w:rFonts w:cstheme="minorHAnsi"/>
          <w:b/>
          <w:sz w:val="21"/>
          <w:szCs w:val="21"/>
        </w:rPr>
        <w:t>/20</w:t>
      </w:r>
      <w:r w:rsidR="00563FA3" w:rsidRPr="00E16FBE">
        <w:rPr>
          <w:rFonts w:cstheme="minorHAnsi"/>
          <w:b/>
          <w:sz w:val="21"/>
          <w:szCs w:val="21"/>
        </w:rPr>
        <w:t>24</w:t>
      </w:r>
      <w:r w:rsidRPr="00E16FBE">
        <w:rPr>
          <w:rFonts w:cstheme="minorHAnsi"/>
          <w:b/>
          <w:sz w:val="21"/>
          <w:szCs w:val="21"/>
        </w:rPr>
        <w:t xml:space="preserve">, do Conselho Nacional do Sesc, e não à Lei Federal nº </w:t>
      </w:r>
      <w:r w:rsidR="00563FA3" w:rsidRPr="00E16FBE">
        <w:rPr>
          <w:rFonts w:cstheme="minorHAnsi"/>
          <w:b/>
          <w:sz w:val="21"/>
          <w:szCs w:val="21"/>
        </w:rPr>
        <w:t>14.133/2021</w:t>
      </w:r>
      <w:r w:rsidRPr="00E16FBE">
        <w:rPr>
          <w:rFonts w:cstheme="minorHAnsi"/>
          <w:b/>
          <w:sz w:val="21"/>
          <w:szCs w:val="21"/>
        </w:rPr>
        <w:t xml:space="preserve"> e outras aplicáveis à Administração Pública.</w:t>
      </w:r>
    </w:p>
    <w:p w14:paraId="0B1BCD44" w14:textId="5200B17F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 xml:space="preserve">Neste aspecto, importante, ainda, salientar que a validade e eficácia dos procedimentos que envolvem as licitações e contratos no Sesc não são vinculados e determinados pela Lei Federal de Licitações. Não se </w:t>
      </w:r>
      <w:r w:rsidRPr="00E16FBE">
        <w:rPr>
          <w:rFonts w:cstheme="minorHAnsi"/>
          <w:sz w:val="21"/>
          <w:szCs w:val="21"/>
        </w:rPr>
        <w:lastRenderedPageBreak/>
        <w:t>interpreta extensivamente ao Sesc os deveres, limites, proibições a que a Administração Pública se sujeita, admitindo-se, no que couber, a observância dos princípios gerais da administração pública. Sobre isso, já manifestou o Tribunal de Contas da União em uma de suas decisões:</w:t>
      </w:r>
    </w:p>
    <w:p w14:paraId="449E53F6" w14:textId="255C5EE2" w:rsidR="008F4CBC" w:rsidRPr="00E16FBE" w:rsidRDefault="008F4CBC" w:rsidP="00E16FBE">
      <w:pPr>
        <w:spacing w:after="0" w:line="288" w:lineRule="auto"/>
        <w:ind w:left="2268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As Entidades do Sistema “S” não são alcançadas pelo art. 1º da Lei 8.666/93.</w:t>
      </w:r>
      <w:r w:rsidRPr="00E16FBE">
        <w:rPr>
          <w:rFonts w:cstheme="minorHAnsi"/>
          <w:sz w:val="21"/>
          <w:szCs w:val="21"/>
        </w:rPr>
        <w:t xml:space="preserve"> (AC 3362/2009-1ª Câmara). </w:t>
      </w:r>
      <w:r w:rsidRPr="00E16FBE">
        <w:rPr>
          <w:rFonts w:cstheme="minorHAnsi"/>
          <w:b/>
          <w:sz w:val="21"/>
          <w:szCs w:val="21"/>
        </w:rPr>
        <w:t>Os Serviços Sociais Autônomos, por não estarem incluídos na lista de entidades enumeradas no parágrafo único do art. 1º da Lei nº 8.666/1993, não estão sujeitos à estrita observância dessa Lei, mas sim a seus regulamentos próprios</w:t>
      </w:r>
      <w:r w:rsidRPr="00E16FBE">
        <w:rPr>
          <w:rFonts w:cstheme="minorHAnsi"/>
          <w:sz w:val="21"/>
          <w:szCs w:val="21"/>
        </w:rPr>
        <w:t xml:space="preserve"> devidamente publicados, os quais devem se pautar nos princípios gerais do processo licitatório, devendo, contudo, ser consentâneos com os princípios constantes do art. 37, caput, da Constituição Federal e seguir os princípios gerais relativos à administração pública. (sem destaques no original). </w:t>
      </w:r>
    </w:p>
    <w:p w14:paraId="409AE6CE" w14:textId="77777777" w:rsidR="00563FA3" w:rsidRPr="00E16FBE" w:rsidRDefault="00563FA3" w:rsidP="00E16FBE">
      <w:pPr>
        <w:spacing w:after="0" w:line="288" w:lineRule="auto"/>
        <w:ind w:left="2268"/>
        <w:contextualSpacing/>
        <w:jc w:val="both"/>
        <w:rPr>
          <w:rFonts w:cstheme="minorHAnsi"/>
          <w:sz w:val="21"/>
          <w:szCs w:val="21"/>
        </w:rPr>
      </w:pPr>
    </w:p>
    <w:p w14:paraId="0907EF4B" w14:textId="0A5533D3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 xml:space="preserve">Vê-se, assim, que ao contrário do pretendido na impugnação ao Edital – Pregão </w:t>
      </w:r>
      <w:r w:rsidRPr="001F39E3">
        <w:rPr>
          <w:rFonts w:cstheme="minorHAnsi"/>
          <w:sz w:val="21"/>
          <w:szCs w:val="21"/>
        </w:rPr>
        <w:t xml:space="preserve">Eletrônico n° </w:t>
      </w:r>
      <w:r w:rsidR="001F39E3" w:rsidRPr="001F39E3">
        <w:rPr>
          <w:rFonts w:cstheme="minorHAnsi"/>
          <w:sz w:val="21"/>
          <w:szCs w:val="21"/>
        </w:rPr>
        <w:t>000061</w:t>
      </w:r>
      <w:r w:rsidRPr="001F39E3">
        <w:rPr>
          <w:rFonts w:cstheme="minorHAnsi"/>
          <w:sz w:val="21"/>
          <w:szCs w:val="21"/>
        </w:rPr>
        <w:t>/20</w:t>
      </w:r>
      <w:r w:rsidR="00563FA3" w:rsidRPr="001F39E3">
        <w:rPr>
          <w:rFonts w:cstheme="minorHAnsi"/>
          <w:sz w:val="21"/>
          <w:szCs w:val="21"/>
        </w:rPr>
        <w:t>2</w:t>
      </w:r>
      <w:r w:rsidR="001F39E3" w:rsidRPr="001F39E3">
        <w:rPr>
          <w:rFonts w:cstheme="minorHAnsi"/>
          <w:sz w:val="21"/>
          <w:szCs w:val="21"/>
        </w:rPr>
        <w:t>5</w:t>
      </w:r>
      <w:r w:rsidRPr="001F39E3">
        <w:rPr>
          <w:rFonts w:cstheme="minorHAnsi"/>
          <w:sz w:val="21"/>
          <w:szCs w:val="21"/>
        </w:rPr>
        <w:t>,</w:t>
      </w:r>
      <w:r w:rsidRPr="00E16FBE">
        <w:rPr>
          <w:rFonts w:cstheme="minorHAnsi"/>
          <w:sz w:val="21"/>
          <w:szCs w:val="21"/>
        </w:rPr>
        <w:t xml:space="preserve"> não são de aplicação direta no caso em tela a Lei nº </w:t>
      </w:r>
      <w:r w:rsidR="00563FA3" w:rsidRPr="00E16FBE">
        <w:rPr>
          <w:rFonts w:cstheme="minorHAnsi"/>
          <w:sz w:val="21"/>
          <w:szCs w:val="21"/>
        </w:rPr>
        <w:t>14.133</w:t>
      </w:r>
      <w:r w:rsidRPr="00E16FBE">
        <w:rPr>
          <w:rFonts w:cstheme="minorHAnsi"/>
          <w:sz w:val="21"/>
          <w:szCs w:val="21"/>
        </w:rPr>
        <w:t>/</w:t>
      </w:r>
      <w:r w:rsidR="00563FA3" w:rsidRPr="00E16FBE">
        <w:rPr>
          <w:rFonts w:cstheme="minorHAnsi"/>
          <w:sz w:val="21"/>
          <w:szCs w:val="21"/>
        </w:rPr>
        <w:t>2021</w:t>
      </w:r>
      <w:r w:rsidRPr="00E16FBE">
        <w:rPr>
          <w:rFonts w:cstheme="minorHAnsi"/>
          <w:sz w:val="21"/>
          <w:szCs w:val="21"/>
        </w:rPr>
        <w:t>, dentre outras normas voltadas à Administração Pública.</w:t>
      </w:r>
    </w:p>
    <w:p w14:paraId="1073CB71" w14:textId="0F4B65C0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E16FBE">
        <w:rPr>
          <w:rFonts w:cstheme="minorHAnsi"/>
          <w:sz w:val="21"/>
          <w:szCs w:val="21"/>
        </w:rPr>
        <w:t>Ultrapassadas as questões afetas à natureza jurídica do Sesc em Minas e as normas a que se sujeita, passa-se à análise do mérito.</w:t>
      </w:r>
    </w:p>
    <w:p w14:paraId="4550748F" w14:textId="77777777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3A9468DE" w14:textId="77777777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4 – DA ANÁLISE</w:t>
      </w:r>
    </w:p>
    <w:p w14:paraId="24F8B729" w14:textId="77777777" w:rsidR="0041010E" w:rsidRPr="00216CE8" w:rsidRDefault="0041010E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7B9D3074" w14:textId="77777777" w:rsidR="00216CE8" w:rsidRPr="00216CE8" w:rsidRDefault="00216CE8" w:rsidP="00216CE8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216CE8">
        <w:rPr>
          <w:rFonts w:cstheme="minorHAnsi"/>
          <w:sz w:val="21"/>
          <w:szCs w:val="21"/>
        </w:rPr>
        <w:t>É importante destacar que cabe à área técnica demandante, detentora de conhecimentos técnicos, estabelecer as definições técnicas, em atenção e respeito as premissas que orientam as contratações em âmbito do Sesc, se atentar e sopesar quanto à aplicabilidade das premissas de regências de suas contratações com o fim, primordial, de se alcançar a melhor contratação possível.</w:t>
      </w:r>
    </w:p>
    <w:p w14:paraId="5858D20B" w14:textId="1828DAB5" w:rsidR="00216CE8" w:rsidRPr="00216CE8" w:rsidRDefault="00125A46" w:rsidP="00216CE8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</w:t>
      </w:r>
      <w:r w:rsidR="00216CE8" w:rsidRPr="00216CE8">
        <w:rPr>
          <w:rFonts w:cstheme="minorHAnsi"/>
          <w:sz w:val="21"/>
          <w:szCs w:val="21"/>
        </w:rPr>
        <w:t>ratando-se das razões de matéria técnica, por sua vez, a área técnica demandante, manifestou</w:t>
      </w:r>
      <w:r>
        <w:rPr>
          <w:rFonts w:cstheme="minorHAnsi"/>
          <w:sz w:val="21"/>
          <w:szCs w:val="21"/>
        </w:rPr>
        <w:t xml:space="preserve"> em documento </w:t>
      </w:r>
      <w:r w:rsidRPr="000145EC">
        <w:rPr>
          <w:rFonts w:cstheme="minorHAnsi"/>
          <w:bCs/>
          <w:sz w:val="21"/>
          <w:szCs w:val="21"/>
        </w:rPr>
        <w:t>anexad</w:t>
      </w:r>
      <w:r>
        <w:rPr>
          <w:rFonts w:cstheme="minorHAnsi"/>
          <w:bCs/>
          <w:sz w:val="21"/>
          <w:szCs w:val="21"/>
        </w:rPr>
        <w:t>o</w:t>
      </w:r>
      <w:r w:rsidRPr="000145EC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à folha 144</w:t>
      </w:r>
      <w:r w:rsidRPr="000145EC">
        <w:rPr>
          <w:rFonts w:cstheme="minorHAnsi"/>
          <w:bCs/>
          <w:sz w:val="21"/>
          <w:szCs w:val="21"/>
        </w:rPr>
        <w:t xml:space="preserve"> do processo nº 004001-08170</w:t>
      </w:r>
      <w:r>
        <w:rPr>
          <w:rFonts w:cstheme="minorHAnsi"/>
          <w:bCs/>
          <w:sz w:val="21"/>
          <w:szCs w:val="21"/>
        </w:rPr>
        <w:t>:</w:t>
      </w:r>
    </w:p>
    <w:p w14:paraId="4BFB1D3B" w14:textId="77777777" w:rsidR="00216CE8" w:rsidRPr="00216CE8" w:rsidRDefault="00216CE8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244BF08E" w14:textId="77777777" w:rsidR="001350FE" w:rsidRDefault="00ED785B" w:rsidP="001350FE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“</w:t>
      </w:r>
      <w:r w:rsidR="001350FE" w:rsidRPr="001350FE">
        <w:rPr>
          <w:rFonts w:cstheme="minorHAnsi"/>
          <w:bCs/>
          <w:sz w:val="21"/>
          <w:szCs w:val="21"/>
        </w:rPr>
        <w:t>No que se refere a exigibilidade trazida no item 9.1, como requisito de qualificação técnica, onde impõe ao interessado a comprovação de experiencia mínima de 3 (três) anos na prestação de serviços terceirizados, ininterruptos ou não. Respaldamos o tema no que prevê a Instrução Normativa nº 5, de 25 de maio de 2017, de onde se extrai:</w:t>
      </w:r>
    </w:p>
    <w:p w14:paraId="230B4461" w14:textId="77777777" w:rsidR="001350FE" w:rsidRPr="001350FE" w:rsidRDefault="001350FE" w:rsidP="001B6E06">
      <w:pPr>
        <w:spacing w:after="0" w:line="288" w:lineRule="auto"/>
        <w:ind w:left="1701"/>
        <w:contextualSpacing/>
        <w:jc w:val="both"/>
        <w:rPr>
          <w:rFonts w:cstheme="minorHAnsi"/>
          <w:bCs/>
          <w:sz w:val="21"/>
          <w:szCs w:val="21"/>
        </w:rPr>
      </w:pPr>
      <w:r w:rsidRPr="001350FE">
        <w:rPr>
          <w:rFonts w:cstheme="minorHAnsi"/>
          <w:bCs/>
          <w:sz w:val="21"/>
          <w:szCs w:val="21"/>
        </w:rPr>
        <w:t>INSTRUÇÃO NORMATIVA Nº 5, DE 25 DE MAIO DE 2017   </w:t>
      </w:r>
    </w:p>
    <w:p w14:paraId="024B1522" w14:textId="77777777" w:rsidR="001350FE" w:rsidRPr="001350FE" w:rsidRDefault="001350FE" w:rsidP="001B6E06">
      <w:pPr>
        <w:spacing w:after="0" w:line="288" w:lineRule="auto"/>
        <w:ind w:left="1701"/>
        <w:contextualSpacing/>
        <w:jc w:val="both"/>
        <w:rPr>
          <w:rFonts w:cstheme="minorHAnsi"/>
          <w:bCs/>
          <w:sz w:val="21"/>
          <w:szCs w:val="21"/>
        </w:rPr>
      </w:pPr>
      <w:r w:rsidRPr="001350FE">
        <w:rPr>
          <w:rFonts w:cstheme="minorHAnsi"/>
          <w:bCs/>
          <w:sz w:val="21"/>
          <w:szCs w:val="21"/>
        </w:rPr>
        <w:t>10.6. Na contratação de serviço continuado, para efeito de qualificação técnico-operacional, a Administração Pública poderá exigir do licitante: a) declaração de que o licitante possui ou instalará escritório em local (cidade/município) previamente definido pela Administração, a ser comprovado no prazo máximo de 60 (sessenta) dias contado a partir da vigência do contrato;</w:t>
      </w:r>
    </w:p>
    <w:p w14:paraId="15766F4E" w14:textId="77777777" w:rsidR="001350FE" w:rsidRDefault="001350FE" w:rsidP="001B6E06">
      <w:pPr>
        <w:spacing w:after="0" w:line="288" w:lineRule="auto"/>
        <w:ind w:left="1701"/>
        <w:contextualSpacing/>
        <w:jc w:val="both"/>
        <w:rPr>
          <w:rFonts w:cstheme="minorHAnsi"/>
          <w:bCs/>
          <w:sz w:val="21"/>
          <w:szCs w:val="21"/>
        </w:rPr>
      </w:pPr>
      <w:r w:rsidRPr="001350FE">
        <w:rPr>
          <w:rFonts w:cstheme="minorHAnsi"/>
          <w:bCs/>
          <w:sz w:val="21"/>
          <w:szCs w:val="21"/>
        </w:rPr>
        <w:t>b) comprovação que já executou objeto compatível, em prazo, com o que está sendo licitado, mediante a comprovação de experiência mínima de três anos na execução de objeto semelhante ao da contratação, podendo ser aceito o somatório de atestados; </w:t>
      </w:r>
    </w:p>
    <w:p w14:paraId="36E58D98" w14:textId="45D18453" w:rsidR="00ED785B" w:rsidRPr="00ED785B" w:rsidRDefault="00ED785B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 w:rsidRPr="00ED785B">
        <w:rPr>
          <w:rFonts w:cstheme="minorHAnsi"/>
          <w:bCs/>
          <w:sz w:val="21"/>
          <w:szCs w:val="21"/>
        </w:rPr>
        <w:t xml:space="preserve">A exigência de no mínimo de três anos de experiência no mercado visa garantir maior confiabilidade, pois organizações mais consolidadas tendem a possuir processos estruturados e experiência na resolução de desafios operacionais. Além disso, o tempo de atuação permite </w:t>
      </w:r>
      <w:r w:rsidRPr="00ED785B">
        <w:rPr>
          <w:rFonts w:cstheme="minorHAnsi"/>
          <w:bCs/>
          <w:sz w:val="21"/>
          <w:szCs w:val="21"/>
        </w:rPr>
        <w:lastRenderedPageBreak/>
        <w:t>que a empresa acumule atestados de capacidade técnica, comprovando sua aptidão para executar serviços de qualidade.</w:t>
      </w:r>
    </w:p>
    <w:p w14:paraId="1F75E227" w14:textId="77777777" w:rsidR="00ED785B" w:rsidRPr="00ED785B" w:rsidRDefault="00ED785B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 w:rsidRPr="00ED785B">
        <w:rPr>
          <w:rFonts w:cstheme="minorHAnsi"/>
          <w:bCs/>
          <w:sz w:val="21"/>
          <w:szCs w:val="21"/>
        </w:rPr>
        <w:t>Essa exigência também contribui para a redução de riscos contratuais, uma vez que empresas recém-criadas podem enfrentar dificuldades financeiras ou operacionais, aumentando a chance de descumprimento contratual ou encerramento das atividades antes do prazo. Empresas experientes, por outro lado, costumam ter equipes treinadas e processos bem definidos, o que resulta em uma gestão mais eficiente dos recursos e na prestação de serviços com maior qualidade.</w:t>
      </w:r>
    </w:p>
    <w:p w14:paraId="560B45C4" w14:textId="488FE49C" w:rsidR="00ED785B" w:rsidRPr="00ED785B" w:rsidRDefault="00ED785B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 w:rsidRPr="00ED785B">
        <w:rPr>
          <w:rFonts w:cstheme="minorHAnsi"/>
          <w:bCs/>
          <w:sz w:val="21"/>
          <w:szCs w:val="21"/>
        </w:rPr>
        <w:t>Por fim, exigir experiência mínima no mercado ajuda a garantir o cumprimento das obrigações fiscais e trabalhistas, pois empresas consolidadas têm maior probabilidade de manter suas responsabilidades legais em dia, evitando problemas como inadimplência fiscal ou trabalhista. Dessa forma, essa exigência contribui para a segurança e a continuidade dos serviços prestados.</w:t>
      </w:r>
      <w:r w:rsidR="001350FE">
        <w:rPr>
          <w:rFonts w:cstheme="minorHAnsi"/>
          <w:bCs/>
          <w:sz w:val="21"/>
          <w:szCs w:val="21"/>
        </w:rPr>
        <w:t>”</w:t>
      </w:r>
    </w:p>
    <w:p w14:paraId="1D66B262" w14:textId="77777777" w:rsidR="00ED785B" w:rsidRDefault="00ED785B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</w:p>
    <w:p w14:paraId="0716AD81" w14:textId="7C98B0FF" w:rsidR="0097186B" w:rsidRDefault="001350FE" w:rsidP="001350FE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>A elaboração do presente Edital e de seus Anexos pautou-se pel</w:t>
      </w:r>
      <w:r w:rsidR="0097186B">
        <w:rPr>
          <w:rFonts w:cstheme="minorHAnsi"/>
          <w:bCs/>
          <w:sz w:val="21"/>
          <w:szCs w:val="21"/>
        </w:rPr>
        <w:t xml:space="preserve">os </w:t>
      </w:r>
      <w:r w:rsidR="0097186B">
        <w:rPr>
          <w:rFonts w:cstheme="minorHAnsi"/>
          <w:bCs/>
          <w:sz w:val="21"/>
          <w:szCs w:val="21"/>
        </w:rPr>
        <w:t>estudos preliminares e gerenciamento de riscos</w:t>
      </w:r>
      <w:r w:rsidR="0097186B">
        <w:rPr>
          <w:rFonts w:cstheme="minorHAnsi"/>
          <w:bCs/>
          <w:sz w:val="21"/>
          <w:szCs w:val="21"/>
        </w:rPr>
        <w:t>, visando a</w:t>
      </w:r>
      <w:r w:rsidRPr="000145EC">
        <w:rPr>
          <w:rFonts w:cstheme="minorHAnsi"/>
          <w:bCs/>
          <w:sz w:val="21"/>
          <w:szCs w:val="21"/>
        </w:rPr>
        <w:t xml:space="preserve"> eficiência e qualidade na contratação dos serviços de limpeza e conservação, em conformidade com a Resolução Sesc nº 1593/2024</w:t>
      </w:r>
      <w:r w:rsidR="0097186B">
        <w:rPr>
          <w:rFonts w:cstheme="minorHAnsi"/>
          <w:bCs/>
          <w:sz w:val="21"/>
          <w:szCs w:val="21"/>
        </w:rPr>
        <w:t>.</w:t>
      </w:r>
    </w:p>
    <w:p w14:paraId="6D98ECD9" w14:textId="11CE4749" w:rsidR="000145EC" w:rsidRDefault="000145EC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 xml:space="preserve">Conforme detalhado </w:t>
      </w:r>
      <w:r w:rsidR="001350FE">
        <w:rPr>
          <w:rFonts w:cstheme="minorHAnsi"/>
          <w:bCs/>
          <w:sz w:val="21"/>
          <w:szCs w:val="21"/>
        </w:rPr>
        <w:t>em</w:t>
      </w:r>
      <w:r w:rsidRPr="000145EC">
        <w:rPr>
          <w:rFonts w:cstheme="minorHAnsi"/>
          <w:bCs/>
          <w:sz w:val="21"/>
          <w:szCs w:val="21"/>
        </w:rPr>
        <w:t xml:space="preserve"> Nota Técnica anexad</w:t>
      </w:r>
      <w:r w:rsidR="001350FE">
        <w:rPr>
          <w:rFonts w:cstheme="minorHAnsi"/>
          <w:bCs/>
          <w:sz w:val="21"/>
          <w:szCs w:val="21"/>
        </w:rPr>
        <w:t>a</w:t>
      </w:r>
      <w:r w:rsidRPr="000145EC">
        <w:rPr>
          <w:rFonts w:cstheme="minorHAnsi"/>
          <w:bCs/>
          <w:sz w:val="21"/>
          <w:szCs w:val="21"/>
        </w:rPr>
        <w:t xml:space="preserve"> às folhas 140 e 141 do processo nº 004001-08170, a área gestora dos contratos tem enfrentado dificuldades com empresas que não possuem a experiência necessária para gerir operações desta </w:t>
      </w:r>
      <w:r>
        <w:rPr>
          <w:rFonts w:cstheme="minorHAnsi"/>
          <w:bCs/>
          <w:sz w:val="21"/>
          <w:szCs w:val="21"/>
        </w:rPr>
        <w:t>relevância</w:t>
      </w:r>
      <w:r w:rsidRPr="000145EC">
        <w:rPr>
          <w:rFonts w:cstheme="minorHAnsi"/>
          <w:bCs/>
          <w:sz w:val="21"/>
          <w:szCs w:val="21"/>
        </w:rPr>
        <w:t>. Tais problemas incluem:</w:t>
      </w:r>
    </w:p>
    <w:p w14:paraId="1EC32038" w14:textId="3B811A36" w:rsidR="000145EC" w:rsidRPr="000145EC" w:rsidRDefault="000145EC" w:rsidP="000145EC">
      <w:pPr>
        <w:numPr>
          <w:ilvl w:val="0"/>
          <w:numId w:val="3"/>
        </w:num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>Atrasos na mobilização de equipes, equipamentos e insumos;</w:t>
      </w:r>
    </w:p>
    <w:p w14:paraId="3EB7C0A9" w14:textId="77777777" w:rsidR="000145EC" w:rsidRDefault="000145EC" w:rsidP="000145EC">
      <w:pPr>
        <w:numPr>
          <w:ilvl w:val="0"/>
          <w:numId w:val="3"/>
        </w:num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>Descumprimento de obrigações contratuais básicas; e</w:t>
      </w:r>
    </w:p>
    <w:p w14:paraId="2A66F5B4" w14:textId="498AEA7C" w:rsidR="000145EC" w:rsidRDefault="000145EC" w:rsidP="000145EC">
      <w:pPr>
        <w:numPr>
          <w:ilvl w:val="0"/>
          <w:numId w:val="3"/>
        </w:num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F</w:t>
      </w:r>
      <w:r w:rsidRPr="000145EC">
        <w:rPr>
          <w:rFonts w:cstheme="minorHAnsi"/>
          <w:bCs/>
          <w:sz w:val="21"/>
          <w:szCs w:val="21"/>
        </w:rPr>
        <w:t>alta de domínio técnico e gerencial para a condução do serviço.</w:t>
      </w:r>
    </w:p>
    <w:p w14:paraId="4AECB9DB" w14:textId="77777777" w:rsidR="000145EC" w:rsidRDefault="000145EC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>Essas falhas na execução comprometem diretamente as condições de higiene e segurança oferecidas aos trabalhadores do comércio, seus dependentes e ao público em geral, além de colocarem em risco a conservação do patrimônio do Sesc em Minas.</w:t>
      </w:r>
    </w:p>
    <w:p w14:paraId="2F64131D" w14:textId="77777777" w:rsidR="000145EC" w:rsidRDefault="000145EC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 xml:space="preserve">A relevância e a complexidade deste contrato são evidenciadas por seus quantitativos: a operação demanda a gestão de 286 postos de trabalho, com 367 profissionais alocados em 34 unidades distintas, representando uma despesa anual de grande vulto. </w:t>
      </w:r>
    </w:p>
    <w:p w14:paraId="76A2DAA0" w14:textId="77400051" w:rsidR="000145EC" w:rsidRDefault="000145EC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0145EC">
        <w:rPr>
          <w:rFonts w:cstheme="minorHAnsi"/>
          <w:bCs/>
          <w:sz w:val="21"/>
          <w:szCs w:val="21"/>
        </w:rPr>
        <w:t xml:space="preserve">Diante desse cenário, a exigência de experiência mínima comprovada é a </w:t>
      </w:r>
      <w:r w:rsidR="001350FE">
        <w:rPr>
          <w:rFonts w:cstheme="minorHAnsi"/>
          <w:bCs/>
          <w:sz w:val="21"/>
          <w:szCs w:val="21"/>
        </w:rPr>
        <w:t>uma das</w:t>
      </w:r>
      <w:r w:rsidRPr="000145EC">
        <w:rPr>
          <w:rFonts w:cstheme="minorHAnsi"/>
          <w:bCs/>
          <w:sz w:val="21"/>
          <w:szCs w:val="21"/>
        </w:rPr>
        <w:t xml:space="preserve"> forma</w:t>
      </w:r>
      <w:r w:rsidR="001350FE">
        <w:rPr>
          <w:rFonts w:cstheme="minorHAnsi"/>
          <w:bCs/>
          <w:sz w:val="21"/>
          <w:szCs w:val="21"/>
        </w:rPr>
        <w:t>s</w:t>
      </w:r>
      <w:r w:rsidRPr="000145EC">
        <w:rPr>
          <w:rFonts w:cstheme="minorHAnsi"/>
          <w:bCs/>
          <w:sz w:val="21"/>
          <w:szCs w:val="21"/>
        </w:rPr>
        <w:t xml:space="preserve"> de mitigar os riscos observados e garantir que a futura contratada possua a capacidade operacional necessária para evitar o colapso na prestação de um serviço tão fundamental.</w:t>
      </w:r>
    </w:p>
    <w:p w14:paraId="606DD676" w14:textId="77777777" w:rsidR="001B6E06" w:rsidRDefault="001B6E06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</w:p>
    <w:p w14:paraId="1F1A41B5" w14:textId="49F13F4E" w:rsidR="001F39E3" w:rsidRDefault="001B6E06" w:rsidP="000145EC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Ainda, a</w:t>
      </w:r>
      <w:r w:rsidR="001F39E3" w:rsidRPr="001F39E3">
        <w:rPr>
          <w:rFonts w:cstheme="minorHAnsi"/>
          <w:bCs/>
          <w:sz w:val="21"/>
          <w:szCs w:val="21"/>
        </w:rPr>
        <w:t xml:space="preserve"> exigência de qualificação técnica contestada encontra amparo na jurisprudência consolidada do Tribunal de Contas da União (TCU), que reconhece a sua necessidade para contratos de natureza complexa e essencial</w:t>
      </w:r>
      <w:r w:rsidR="00F57EF9">
        <w:rPr>
          <w:rFonts w:cstheme="minorHAnsi"/>
          <w:bCs/>
          <w:sz w:val="21"/>
          <w:szCs w:val="21"/>
        </w:rPr>
        <w:t>:</w:t>
      </w:r>
    </w:p>
    <w:p w14:paraId="62305F2F" w14:textId="08CB20A0" w:rsidR="001B6E06" w:rsidRDefault="00695EC8" w:rsidP="001B6E06">
      <w:pPr>
        <w:spacing w:after="0" w:line="288" w:lineRule="auto"/>
        <w:contextualSpacing/>
        <w:jc w:val="both"/>
        <w:rPr>
          <w:rFonts w:cstheme="minorHAnsi"/>
          <w:b/>
          <w:bCs/>
          <w:sz w:val="21"/>
          <w:szCs w:val="21"/>
        </w:rPr>
      </w:pPr>
      <w:hyperlink r:id="rId11" w:tgtFrame="_blank" w:history="1">
        <w:r w:rsidRPr="00695EC8">
          <w:rPr>
            <w:rStyle w:val="Hyperlink"/>
            <w:rFonts w:cstheme="minorHAnsi"/>
            <w:b/>
            <w:bCs/>
            <w:sz w:val="21"/>
            <w:szCs w:val="21"/>
          </w:rPr>
          <w:t>ACÓRDÃO 1214/201</w:t>
        </w:r>
        <w:r w:rsidRPr="00695EC8">
          <w:rPr>
            <w:rStyle w:val="Hyperlink"/>
            <w:rFonts w:cstheme="minorHAnsi"/>
            <w:b/>
            <w:bCs/>
            <w:sz w:val="21"/>
            <w:szCs w:val="21"/>
          </w:rPr>
          <w:t>3</w:t>
        </w:r>
        <w:r w:rsidRPr="00695EC8">
          <w:rPr>
            <w:rStyle w:val="Hyperlink"/>
            <w:rFonts w:cstheme="minorHAnsi"/>
            <w:b/>
            <w:bCs/>
            <w:sz w:val="21"/>
            <w:szCs w:val="21"/>
          </w:rPr>
          <w:t xml:space="preserve"> - PLENÁRIO</w:t>
        </w:r>
      </w:hyperlink>
      <w:r w:rsidR="001B6E06">
        <w:t>:</w:t>
      </w:r>
    </w:p>
    <w:p w14:paraId="5F65F38F" w14:textId="22E9A932" w:rsidR="004012A2" w:rsidRDefault="001B6E06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“</w:t>
      </w:r>
      <w:r w:rsidR="004012A2" w:rsidRPr="004012A2">
        <w:rPr>
          <w:rFonts w:cstheme="minorHAnsi"/>
          <w:bCs/>
          <w:sz w:val="21"/>
          <w:szCs w:val="21"/>
        </w:rPr>
        <w:t>REPRESENTAÇÃO FORMULADA PELA EXTINTA ADPLAN A PARTIR DE TRABALHO REALIZADO POR GRUPO DE ESTUDOS INTEGRADO POR SERVIDORES DE DIVERSOS ÓRGÃOS. FORMULAÇÃO DE PROPOSTAS NO INTUITO DE IMPLEMENTAR MELHORIAS NOS PROCEDIMENTOS DE LICITAÇÃO E DE EXECUÇÃO DE CONTRATOS PARA A PRESTAÇÃO DE SERVIÇOS DE NATUREZA CONTÍNUA. ANÁLISE DOS DIVERSOS ASPECTOS ABORDADOS PELO GRUPO. FORMULAÇÃO DE RECOMENDAÇÕES À SLTI/MP E À AGU.</w:t>
      </w:r>
    </w:p>
    <w:p w14:paraId="1DEB5D54" w14:textId="77777777" w:rsidR="004012A2" w:rsidRDefault="004012A2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</w:p>
    <w:p w14:paraId="748875AF" w14:textId="2BD5100D" w:rsidR="004012A2" w:rsidRDefault="004012A2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 w:rsidRPr="004012A2">
        <w:rPr>
          <w:rFonts w:cstheme="minorHAnsi"/>
          <w:bCs/>
          <w:sz w:val="21"/>
          <w:szCs w:val="21"/>
        </w:rPr>
        <w:lastRenderedPageBreak/>
        <w:t>9.1 recomendar à Secretaria de Logística e Tecnologia da Informação do Ministério do Planejamento que incorpore os seguintes aspectos à IN/MP 2/2008:</w:t>
      </w:r>
    </w:p>
    <w:p w14:paraId="5DE31037" w14:textId="27E39B1E" w:rsidR="004012A2" w:rsidRDefault="001B6E06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(...)</w:t>
      </w:r>
    </w:p>
    <w:p w14:paraId="5A7F16FE" w14:textId="127BF099" w:rsidR="004012A2" w:rsidRDefault="004012A2" w:rsidP="00ED785B">
      <w:pPr>
        <w:spacing w:after="0" w:line="288" w:lineRule="auto"/>
        <w:ind w:left="1134"/>
        <w:contextualSpacing/>
        <w:jc w:val="both"/>
        <w:rPr>
          <w:rFonts w:cstheme="minorHAnsi"/>
          <w:bCs/>
          <w:sz w:val="21"/>
          <w:szCs w:val="21"/>
        </w:rPr>
      </w:pPr>
      <w:r w:rsidRPr="004012A2">
        <w:rPr>
          <w:rFonts w:cstheme="minorHAnsi"/>
          <w:bCs/>
          <w:sz w:val="21"/>
          <w:szCs w:val="21"/>
        </w:rPr>
        <w:t>9.1.13 seja fixada em edital, como qualificação técnico-operacional, a obrigatoriedade da apresentação de atestado comprovando que a contratada tenha executado serviços de terceirização compatíveis em quantidade com o objeto licitado por período não inferior a 3 anos;</w:t>
      </w:r>
      <w:r w:rsidR="0097186B">
        <w:rPr>
          <w:rFonts w:cstheme="minorHAnsi"/>
          <w:bCs/>
          <w:sz w:val="21"/>
          <w:szCs w:val="21"/>
        </w:rPr>
        <w:t>”</w:t>
      </w:r>
    </w:p>
    <w:p w14:paraId="3AE903BF" w14:textId="055F2F81" w:rsidR="007A67AB" w:rsidRDefault="00F57EF9" w:rsidP="00F57EF9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O Acordão </w:t>
      </w:r>
      <w:r w:rsidR="004012A2" w:rsidRPr="004012A2">
        <w:rPr>
          <w:rFonts w:cstheme="minorHAnsi"/>
          <w:bCs/>
          <w:sz w:val="21"/>
          <w:szCs w:val="21"/>
        </w:rPr>
        <w:t>recomendou medidas para aumentar a segurança dos contratos, o que incluiu a possibilidade de exigir experiência mínima de 3 anos, posteriormente incorporada em Instruções Normativa</w:t>
      </w:r>
      <w:r>
        <w:rPr>
          <w:rFonts w:cstheme="minorHAnsi"/>
          <w:bCs/>
          <w:sz w:val="21"/>
          <w:szCs w:val="21"/>
        </w:rPr>
        <w:t xml:space="preserve">, </w:t>
      </w:r>
      <w:r w:rsidRPr="001F39E3">
        <w:rPr>
          <w:rFonts w:cstheme="minorHAnsi"/>
          <w:bCs/>
          <w:sz w:val="21"/>
          <w:szCs w:val="21"/>
        </w:rPr>
        <w:t>como bem apontado pela área técnica</w:t>
      </w:r>
      <w:r>
        <w:rPr>
          <w:rFonts w:cstheme="minorHAnsi"/>
          <w:bCs/>
          <w:sz w:val="21"/>
          <w:szCs w:val="21"/>
        </w:rPr>
        <w:t xml:space="preserve">. </w:t>
      </w:r>
    </w:p>
    <w:p w14:paraId="38720EAA" w14:textId="2655FD10" w:rsidR="00F57EF9" w:rsidRDefault="00695EC8" w:rsidP="00695EC8">
      <w:pPr>
        <w:spacing w:line="288" w:lineRule="auto"/>
        <w:contextualSpacing/>
        <w:jc w:val="both"/>
        <w:rPr>
          <w:rFonts w:cstheme="minorHAnsi"/>
          <w:b/>
          <w:bCs/>
          <w:sz w:val="21"/>
          <w:szCs w:val="21"/>
        </w:rPr>
      </w:pPr>
      <w:hyperlink r:id="rId12" w:tgtFrame="_blank" w:history="1">
        <w:r w:rsidR="00F57EF9" w:rsidRPr="00695EC8">
          <w:rPr>
            <w:rStyle w:val="Hyperlink"/>
            <w:rFonts w:cstheme="minorHAnsi"/>
            <w:b/>
            <w:bCs/>
            <w:sz w:val="21"/>
            <w:szCs w:val="21"/>
          </w:rPr>
          <w:t>ACÓRDÃO 7164/2020-SEGUNDA CÂMARA</w:t>
        </w:r>
      </w:hyperlink>
      <w:r w:rsidR="00F57EF9">
        <w:t>:</w:t>
      </w:r>
      <w:r w:rsidR="00216CE8">
        <w:rPr>
          <w:rFonts w:cstheme="minorHAnsi"/>
          <w:b/>
          <w:bCs/>
          <w:sz w:val="21"/>
          <w:szCs w:val="21"/>
        </w:rPr>
        <w:t xml:space="preserve"> </w:t>
      </w:r>
    </w:p>
    <w:p w14:paraId="4FF162C5" w14:textId="417E537F" w:rsidR="00695EC8" w:rsidRDefault="00F57EF9" w:rsidP="00695EC8">
      <w:pPr>
        <w:spacing w:line="288" w:lineRule="auto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R</w:t>
      </w:r>
      <w:r w:rsidR="00695EC8" w:rsidRPr="00216CE8">
        <w:rPr>
          <w:rFonts w:cstheme="minorHAnsi"/>
          <w:sz w:val="21"/>
          <w:szCs w:val="21"/>
        </w:rPr>
        <w:t>efo</w:t>
      </w:r>
      <w:r w:rsidR="00695EC8" w:rsidRPr="00695EC8">
        <w:rPr>
          <w:rFonts w:cstheme="minorHAnsi"/>
          <w:sz w:val="21"/>
          <w:szCs w:val="21"/>
        </w:rPr>
        <w:t xml:space="preserve">rçou que a exigência de 3 anos de experiência deve ser fundamentada em estudos prévios e na experiência do contratante, que indiquem ser esse prazo indispensável devido à essencialidade, risco ou complexidade do serviço. </w:t>
      </w:r>
    </w:p>
    <w:p w14:paraId="0ACC668D" w14:textId="52A5F961" w:rsidR="00F57EF9" w:rsidRDefault="0097186B" w:rsidP="00695EC8">
      <w:pPr>
        <w:spacing w:line="288" w:lineRule="auto"/>
        <w:contextualSpacing/>
        <w:jc w:val="both"/>
        <w:rPr>
          <w:rStyle w:val="Hyperlink"/>
          <w:b/>
          <w:bCs/>
        </w:rPr>
      </w:pPr>
      <w:hyperlink r:id="rId13" w:tgtFrame="_blank" w:history="1">
        <w:r w:rsidRPr="0097186B">
          <w:rPr>
            <w:rStyle w:val="Hyperlink"/>
            <w:b/>
            <w:bCs/>
          </w:rPr>
          <w:t>ACÓRDÃO 924/2022 - PLENÁRIO</w:t>
        </w:r>
      </w:hyperlink>
      <w:r w:rsidR="00F57EF9">
        <w:rPr>
          <w:rStyle w:val="Hyperlink"/>
          <w:b/>
          <w:bCs/>
        </w:rPr>
        <w:t>:</w:t>
      </w:r>
    </w:p>
    <w:p w14:paraId="69FD8A59" w14:textId="0E5B8B5F" w:rsidR="00216CE8" w:rsidRDefault="0097186B" w:rsidP="00216CE8">
      <w:pPr>
        <w:spacing w:line="288" w:lineRule="auto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</w:t>
      </w:r>
      <w:r w:rsidR="001F39E3">
        <w:rPr>
          <w:rFonts w:cstheme="minorHAnsi"/>
          <w:sz w:val="21"/>
          <w:szCs w:val="21"/>
        </w:rPr>
        <w:t xml:space="preserve">onforme análise de </w:t>
      </w:r>
      <w:hyperlink r:id="rId14" w:tooltip="Posts por Danielle Regina Wobeto de Araujo" w:history="1">
        <w:r w:rsidR="00216CE8" w:rsidRPr="00216CE8">
          <w:rPr>
            <w:rFonts w:cstheme="minorHAnsi"/>
            <w:sz w:val="21"/>
            <w:szCs w:val="21"/>
          </w:rPr>
          <w:t xml:space="preserve">Danielle Regina </w:t>
        </w:r>
        <w:proofErr w:type="spellStart"/>
        <w:r w:rsidR="00216CE8" w:rsidRPr="00216CE8">
          <w:rPr>
            <w:rFonts w:cstheme="minorHAnsi"/>
            <w:sz w:val="21"/>
            <w:szCs w:val="21"/>
          </w:rPr>
          <w:t>Wobeto</w:t>
        </w:r>
        <w:proofErr w:type="spellEnd"/>
        <w:r w:rsidR="00216CE8" w:rsidRPr="00216CE8">
          <w:rPr>
            <w:rFonts w:cstheme="minorHAnsi"/>
            <w:sz w:val="21"/>
            <w:szCs w:val="21"/>
          </w:rPr>
          <w:t xml:space="preserve"> de Araujo</w:t>
        </w:r>
      </w:hyperlink>
      <w:r w:rsidR="00216CE8">
        <w:rPr>
          <w:rFonts w:cstheme="minorHAnsi"/>
          <w:sz w:val="21"/>
          <w:szCs w:val="21"/>
        </w:rPr>
        <w:t xml:space="preserve">, publicado em </w:t>
      </w:r>
      <w:r w:rsidR="00216CE8" w:rsidRPr="00216CE8">
        <w:rPr>
          <w:rFonts w:cstheme="minorHAnsi"/>
          <w:sz w:val="21"/>
          <w:szCs w:val="21"/>
        </w:rPr>
        <w:t>14 de novembro de 2022</w:t>
      </w:r>
      <w:r w:rsidR="00216CE8">
        <w:rPr>
          <w:rFonts w:cstheme="minorHAnsi"/>
          <w:sz w:val="21"/>
          <w:szCs w:val="21"/>
        </w:rPr>
        <w:t xml:space="preserve">, no </w:t>
      </w:r>
      <w:hyperlink r:id="rId15" w:tgtFrame="_blank" w:history="1">
        <w:r w:rsidR="00216CE8" w:rsidRPr="00695EC8">
          <w:rPr>
            <w:rStyle w:val="Hyperlink"/>
            <w:rFonts w:cstheme="minorHAnsi"/>
            <w:sz w:val="21"/>
            <w:szCs w:val="21"/>
          </w:rPr>
          <w:t>jmlgrupo.com.br</w:t>
        </w:r>
      </w:hyperlink>
      <w:r w:rsidR="00216CE8">
        <w:rPr>
          <w:rFonts w:cstheme="minorHAnsi"/>
          <w:sz w:val="21"/>
          <w:szCs w:val="21"/>
        </w:rPr>
        <w:t xml:space="preserve"> : </w:t>
      </w:r>
    </w:p>
    <w:p w14:paraId="706B252B" w14:textId="36657F9D" w:rsidR="00216CE8" w:rsidRDefault="00216CE8" w:rsidP="00216CE8">
      <w:pPr>
        <w:spacing w:line="288" w:lineRule="auto"/>
        <w:ind w:left="1134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“</w:t>
      </w:r>
      <w:r w:rsidRPr="00216CE8">
        <w:rPr>
          <w:rFonts w:cstheme="minorHAnsi"/>
          <w:sz w:val="21"/>
          <w:szCs w:val="21"/>
        </w:rPr>
        <w:t>De acordo com o Acórdão 924/2022, publicado no Informativo 435 do TCU, é possível estabelecer em edital regra exigindo número mínimo de atestados que comprovem a qualificação técnica – experiência mínima de três anos e execução superior a 50% do serviço – das empresas interessadas em contratar com a Administração Pública, porém, tal medida é excepcional. Com isso queremos dizer que seu cabimento fica condicionado à especificidade do objeto e ao não comprometimento da competitividade do certame. Ademais, a adoção deve estar devidamente justificada no processo administrativo da licitação.</w:t>
      </w:r>
      <w:r>
        <w:rPr>
          <w:rFonts w:cstheme="minorHAnsi"/>
          <w:sz w:val="21"/>
          <w:szCs w:val="21"/>
        </w:rPr>
        <w:t>”</w:t>
      </w:r>
    </w:p>
    <w:p w14:paraId="748952BA" w14:textId="77777777" w:rsidR="00216CE8" w:rsidRDefault="00216CE8" w:rsidP="00695EC8">
      <w:pPr>
        <w:spacing w:line="288" w:lineRule="auto"/>
        <w:contextualSpacing/>
        <w:jc w:val="both"/>
        <w:rPr>
          <w:rFonts w:cstheme="minorHAnsi"/>
          <w:sz w:val="21"/>
          <w:szCs w:val="21"/>
        </w:rPr>
      </w:pPr>
    </w:p>
    <w:p w14:paraId="14F8A317" w14:textId="1595E16D" w:rsidR="00216CE8" w:rsidRDefault="001F39E3" w:rsidP="00216CE8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Portanto, a</w:t>
      </w:r>
      <w:r w:rsidR="00216CE8" w:rsidRPr="007A67AB">
        <w:rPr>
          <w:rFonts w:cstheme="minorHAnsi"/>
          <w:bCs/>
          <w:sz w:val="21"/>
          <w:szCs w:val="21"/>
        </w:rPr>
        <w:t xml:space="preserve"> principal orientação do TCU é que a exigência de experiência mínima de 3 anos, </w:t>
      </w:r>
      <w:r w:rsidR="00216CE8">
        <w:rPr>
          <w:rFonts w:cstheme="minorHAnsi"/>
          <w:bCs/>
          <w:sz w:val="21"/>
          <w:szCs w:val="21"/>
        </w:rPr>
        <w:t>dever</w:t>
      </w:r>
      <w:r w:rsidR="00216CE8" w:rsidRPr="007A67AB">
        <w:rPr>
          <w:rFonts w:cstheme="minorHAnsi"/>
          <w:bCs/>
          <w:sz w:val="21"/>
          <w:szCs w:val="21"/>
        </w:rPr>
        <w:t xml:space="preserve"> ser adequadamente fundamentada. Essa fundamentação precisa se basear em estudos prévios e na experiência do próprio órgão contratante, demonstrando que tal prazo é indispensável para garantir a qualidade e a segurança da execução do serviço.</w:t>
      </w:r>
      <w:r w:rsidR="00216CE8">
        <w:rPr>
          <w:rFonts w:cstheme="minorHAnsi"/>
          <w:bCs/>
          <w:sz w:val="21"/>
          <w:szCs w:val="21"/>
        </w:rPr>
        <w:t xml:space="preserve"> </w:t>
      </w:r>
    </w:p>
    <w:p w14:paraId="65D88092" w14:textId="05A469D3" w:rsidR="001F39E3" w:rsidRDefault="001F39E3" w:rsidP="00216CE8">
      <w:pPr>
        <w:spacing w:after="0" w:line="288" w:lineRule="auto"/>
        <w:contextualSpacing/>
        <w:jc w:val="both"/>
        <w:rPr>
          <w:rFonts w:cstheme="minorHAnsi"/>
          <w:bCs/>
          <w:sz w:val="21"/>
          <w:szCs w:val="21"/>
        </w:rPr>
      </w:pPr>
      <w:r w:rsidRPr="001F39E3">
        <w:rPr>
          <w:rFonts w:cstheme="minorHAnsi"/>
          <w:sz w:val="21"/>
          <w:szCs w:val="21"/>
        </w:rPr>
        <w:t>T</w:t>
      </w:r>
      <w:r w:rsidR="00E31CC1">
        <w:rPr>
          <w:rFonts w:cstheme="minorHAnsi"/>
          <w:sz w:val="21"/>
          <w:szCs w:val="21"/>
        </w:rPr>
        <w:t xml:space="preserve">ais </w:t>
      </w:r>
      <w:r w:rsidRPr="001F39E3">
        <w:rPr>
          <w:rFonts w:cstheme="minorHAnsi"/>
          <w:sz w:val="21"/>
          <w:szCs w:val="21"/>
        </w:rPr>
        <w:t>justificativa</w:t>
      </w:r>
      <w:r w:rsidR="00E31CC1">
        <w:rPr>
          <w:rFonts w:cstheme="minorHAnsi"/>
          <w:sz w:val="21"/>
          <w:szCs w:val="21"/>
        </w:rPr>
        <w:t>s</w:t>
      </w:r>
      <w:r w:rsidR="00301F2E">
        <w:rPr>
          <w:rFonts w:cstheme="minorHAnsi"/>
          <w:sz w:val="21"/>
          <w:szCs w:val="21"/>
        </w:rPr>
        <w:t xml:space="preserve"> e planejamento da contratação</w:t>
      </w:r>
      <w:r w:rsidRPr="001F39E3">
        <w:rPr>
          <w:rFonts w:cstheme="minorHAnsi"/>
          <w:sz w:val="21"/>
          <w:szCs w:val="21"/>
        </w:rPr>
        <w:t xml:space="preserve"> fo</w:t>
      </w:r>
      <w:r w:rsidR="00E31CC1">
        <w:rPr>
          <w:rFonts w:cstheme="minorHAnsi"/>
          <w:sz w:val="21"/>
          <w:szCs w:val="21"/>
        </w:rPr>
        <w:t>ram</w:t>
      </w:r>
      <w:r w:rsidRPr="001F39E3">
        <w:rPr>
          <w:rFonts w:cstheme="minorHAnsi"/>
          <w:sz w:val="21"/>
          <w:szCs w:val="21"/>
        </w:rPr>
        <w:t xml:space="preserve"> devidamente elaborad</w:t>
      </w:r>
      <w:r w:rsidR="00301F2E">
        <w:rPr>
          <w:rFonts w:cstheme="minorHAnsi"/>
          <w:sz w:val="21"/>
          <w:szCs w:val="21"/>
        </w:rPr>
        <w:t>o</w:t>
      </w:r>
      <w:r w:rsidR="00E31CC1">
        <w:rPr>
          <w:rFonts w:cstheme="minorHAnsi"/>
          <w:sz w:val="21"/>
          <w:szCs w:val="21"/>
        </w:rPr>
        <w:t>s</w:t>
      </w:r>
      <w:r w:rsidR="00125A46">
        <w:rPr>
          <w:rFonts w:cstheme="minorHAnsi"/>
          <w:sz w:val="21"/>
          <w:szCs w:val="21"/>
        </w:rPr>
        <w:t xml:space="preserve">, conforme </w:t>
      </w:r>
      <w:r w:rsidR="00E31CC1">
        <w:rPr>
          <w:rFonts w:cstheme="minorHAnsi"/>
          <w:sz w:val="21"/>
          <w:szCs w:val="21"/>
        </w:rPr>
        <w:t>já citad</w:t>
      </w:r>
      <w:r w:rsidR="00301F2E">
        <w:rPr>
          <w:rFonts w:cstheme="minorHAnsi"/>
          <w:sz w:val="21"/>
          <w:szCs w:val="21"/>
        </w:rPr>
        <w:t>o</w:t>
      </w:r>
      <w:r w:rsidR="00E31CC1">
        <w:rPr>
          <w:rFonts w:cstheme="minorHAnsi"/>
          <w:sz w:val="21"/>
          <w:szCs w:val="21"/>
        </w:rPr>
        <w:t>s</w:t>
      </w:r>
      <w:r w:rsidRPr="001F39E3">
        <w:rPr>
          <w:rFonts w:cstheme="minorHAnsi"/>
          <w:sz w:val="21"/>
          <w:szCs w:val="21"/>
        </w:rPr>
        <w:t>, na qual se demonstram a</w:t>
      </w:r>
      <w:r w:rsidRPr="001F39E3">
        <w:rPr>
          <w:rFonts w:cstheme="minorHAnsi"/>
          <w:bCs/>
          <w:sz w:val="21"/>
          <w:szCs w:val="21"/>
        </w:rPr>
        <w:t xml:space="preserve"> complexidade e a criticidade da operação. O</w:t>
      </w:r>
      <w:r w:rsidR="00E31CC1">
        <w:rPr>
          <w:rFonts w:cstheme="minorHAnsi"/>
          <w:bCs/>
          <w:sz w:val="21"/>
          <w:szCs w:val="21"/>
        </w:rPr>
        <w:t>s</w:t>
      </w:r>
      <w:r w:rsidRPr="001F39E3">
        <w:rPr>
          <w:rFonts w:cstheme="minorHAnsi"/>
          <w:bCs/>
          <w:sz w:val="21"/>
          <w:szCs w:val="21"/>
        </w:rPr>
        <w:t xml:space="preserve"> documento</w:t>
      </w:r>
      <w:r w:rsidR="00E31CC1">
        <w:rPr>
          <w:rFonts w:cstheme="minorHAnsi"/>
          <w:bCs/>
          <w:sz w:val="21"/>
          <w:szCs w:val="21"/>
        </w:rPr>
        <w:t>s</w:t>
      </w:r>
      <w:r w:rsidRPr="001F39E3">
        <w:rPr>
          <w:rFonts w:cstheme="minorHAnsi"/>
          <w:bCs/>
          <w:sz w:val="21"/>
          <w:szCs w:val="21"/>
        </w:rPr>
        <w:t xml:space="preserve"> </w:t>
      </w:r>
      <w:r w:rsidR="00E31CC1">
        <w:rPr>
          <w:rFonts w:cstheme="minorHAnsi"/>
          <w:bCs/>
          <w:sz w:val="21"/>
          <w:szCs w:val="21"/>
        </w:rPr>
        <w:t>estão</w:t>
      </w:r>
      <w:r w:rsidRPr="001F39E3">
        <w:rPr>
          <w:rFonts w:cstheme="minorHAnsi"/>
          <w:bCs/>
          <w:sz w:val="21"/>
          <w:szCs w:val="21"/>
        </w:rPr>
        <w:t xml:space="preserve"> disponíve</w:t>
      </w:r>
      <w:r w:rsidR="00E31CC1">
        <w:rPr>
          <w:rFonts w:cstheme="minorHAnsi"/>
          <w:bCs/>
          <w:sz w:val="21"/>
          <w:szCs w:val="21"/>
        </w:rPr>
        <w:t>is</w:t>
      </w:r>
      <w:r w:rsidRPr="001F39E3">
        <w:rPr>
          <w:rFonts w:cstheme="minorHAnsi"/>
          <w:bCs/>
          <w:sz w:val="21"/>
          <w:szCs w:val="21"/>
        </w:rPr>
        <w:t xml:space="preserve"> para vistas dos interessados, mediante agendamento prévio, garantindo a total transparência do procedimento.</w:t>
      </w:r>
    </w:p>
    <w:p w14:paraId="3B325521" w14:textId="77777777" w:rsidR="00216CE8" w:rsidRPr="00E16FBE" w:rsidRDefault="00216CE8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21F4D2D7" w14:textId="2AE43F24" w:rsidR="008F4CBC" w:rsidRPr="00E16FBE" w:rsidRDefault="008F4CBC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5 – DA DECISÃO</w:t>
      </w:r>
    </w:p>
    <w:p w14:paraId="6D3DCB7B" w14:textId="77777777" w:rsidR="0041010E" w:rsidRPr="00E16FBE" w:rsidRDefault="0041010E" w:rsidP="00E16FBE">
      <w:pPr>
        <w:spacing w:after="0" w:line="288" w:lineRule="auto"/>
        <w:contextualSpacing/>
        <w:jc w:val="both"/>
        <w:rPr>
          <w:rFonts w:cstheme="minorHAnsi"/>
          <w:b/>
          <w:sz w:val="21"/>
          <w:szCs w:val="21"/>
        </w:rPr>
      </w:pPr>
    </w:p>
    <w:p w14:paraId="4058FA45" w14:textId="56A381B4" w:rsidR="003610ED" w:rsidRPr="001F39E3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  <w:r w:rsidRPr="001F39E3">
        <w:rPr>
          <w:rFonts w:cstheme="minorHAnsi"/>
          <w:sz w:val="21"/>
          <w:szCs w:val="21"/>
        </w:rPr>
        <w:t xml:space="preserve">Isto posto, </w:t>
      </w:r>
      <w:r w:rsidRPr="001F39E3">
        <w:rPr>
          <w:rFonts w:cstheme="minorHAnsi"/>
          <w:b/>
          <w:bCs/>
          <w:sz w:val="21"/>
          <w:szCs w:val="21"/>
        </w:rPr>
        <w:t>CONHEÇO</w:t>
      </w:r>
      <w:r w:rsidRPr="001F39E3">
        <w:rPr>
          <w:rFonts w:cstheme="minorHAnsi"/>
          <w:sz w:val="21"/>
          <w:szCs w:val="21"/>
        </w:rPr>
        <w:t xml:space="preserve"> da impugnação apresentada, e no mérito </w:t>
      </w:r>
      <w:r w:rsidRPr="001F39E3">
        <w:rPr>
          <w:rFonts w:cstheme="minorHAnsi"/>
          <w:b/>
          <w:bCs/>
          <w:sz w:val="21"/>
          <w:szCs w:val="21"/>
        </w:rPr>
        <w:t xml:space="preserve">NEGO-LHE PROVIMENTO, </w:t>
      </w:r>
      <w:r w:rsidRPr="001F39E3">
        <w:rPr>
          <w:rFonts w:cstheme="minorHAnsi"/>
          <w:sz w:val="21"/>
          <w:szCs w:val="21"/>
        </w:rPr>
        <w:t>desse modo, mantendo o referido edital inalterado</w:t>
      </w:r>
      <w:r w:rsidR="003610ED" w:rsidRPr="001F39E3">
        <w:rPr>
          <w:rFonts w:cstheme="minorHAnsi"/>
          <w:sz w:val="21"/>
          <w:szCs w:val="21"/>
        </w:rPr>
        <w:t xml:space="preserve">. </w:t>
      </w:r>
    </w:p>
    <w:p w14:paraId="4849532D" w14:textId="3085F75E" w:rsidR="008F4CBC" w:rsidRPr="001F39E3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2E066F9B" w14:textId="5307FE21" w:rsidR="008F4CBC" w:rsidRPr="001F39E3" w:rsidRDefault="008F4CBC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74AD1618" w14:textId="77777777" w:rsidR="00557093" w:rsidRDefault="00557093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259771C2" w14:textId="77777777" w:rsidR="0097186B" w:rsidRPr="00E16FBE" w:rsidRDefault="0097186B" w:rsidP="00E16FBE">
      <w:pPr>
        <w:spacing w:after="0" w:line="288" w:lineRule="auto"/>
        <w:contextualSpacing/>
        <w:jc w:val="both"/>
        <w:rPr>
          <w:rFonts w:cstheme="minorHAnsi"/>
          <w:sz w:val="21"/>
          <w:szCs w:val="21"/>
        </w:rPr>
      </w:pPr>
    </w:p>
    <w:p w14:paraId="16DAD915" w14:textId="0BAC49D0" w:rsidR="00E16FBE" w:rsidRPr="00E16FBE" w:rsidRDefault="00E16FBE" w:rsidP="00E16FBE">
      <w:pPr>
        <w:spacing w:after="0" w:line="288" w:lineRule="auto"/>
        <w:contextualSpacing/>
        <w:jc w:val="center"/>
        <w:rPr>
          <w:rFonts w:cstheme="minorHAnsi"/>
          <w:b/>
          <w:sz w:val="21"/>
          <w:szCs w:val="21"/>
        </w:rPr>
      </w:pPr>
      <w:bookmarkStart w:id="1" w:name="_Hlk1547218"/>
      <w:r w:rsidRPr="00E16FBE">
        <w:rPr>
          <w:rFonts w:cstheme="minorHAnsi"/>
          <w:bCs/>
          <w:sz w:val="21"/>
          <w:szCs w:val="21"/>
        </w:rPr>
        <w:t>Wanessa Peres</w:t>
      </w:r>
      <w:r w:rsidR="001F39E3">
        <w:rPr>
          <w:rFonts w:cstheme="minorHAnsi"/>
          <w:bCs/>
          <w:sz w:val="21"/>
          <w:szCs w:val="21"/>
        </w:rPr>
        <w:t xml:space="preserve"> Rabelo</w:t>
      </w:r>
    </w:p>
    <w:p w14:paraId="0BC022FD" w14:textId="77777777" w:rsidR="003610ED" w:rsidRPr="00E16FBE" w:rsidRDefault="003610ED" w:rsidP="00E16FBE">
      <w:pPr>
        <w:spacing w:after="0" w:line="288" w:lineRule="auto"/>
        <w:contextualSpacing/>
        <w:jc w:val="center"/>
        <w:rPr>
          <w:rFonts w:cstheme="minorHAnsi"/>
          <w:b/>
          <w:sz w:val="21"/>
          <w:szCs w:val="21"/>
        </w:rPr>
      </w:pPr>
      <w:r w:rsidRPr="00E16FBE">
        <w:rPr>
          <w:rFonts w:cstheme="minorHAnsi"/>
          <w:b/>
          <w:sz w:val="21"/>
          <w:szCs w:val="21"/>
        </w:rPr>
        <w:t>Comissão Permanente de Licitação do Sesc em Minas</w:t>
      </w:r>
      <w:bookmarkEnd w:id="1"/>
    </w:p>
    <w:sectPr w:rsidR="003610ED" w:rsidRPr="00E16FBE" w:rsidSect="0041010E">
      <w:headerReference w:type="default" r:id="rId1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FA75" w14:textId="77777777" w:rsidR="008B413F" w:rsidRDefault="008B413F" w:rsidP="00A575AD">
      <w:pPr>
        <w:spacing w:after="0" w:line="240" w:lineRule="auto"/>
      </w:pPr>
      <w:r>
        <w:separator/>
      </w:r>
    </w:p>
  </w:endnote>
  <w:endnote w:type="continuationSeparator" w:id="0">
    <w:p w14:paraId="00D97E04" w14:textId="77777777" w:rsidR="008B413F" w:rsidRDefault="008B413F" w:rsidP="00A5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D6D3" w14:textId="77777777" w:rsidR="008B413F" w:rsidRDefault="008B413F" w:rsidP="00A575AD">
      <w:pPr>
        <w:spacing w:after="0" w:line="240" w:lineRule="auto"/>
      </w:pPr>
      <w:bookmarkStart w:id="0" w:name="_Hlk19862823"/>
      <w:bookmarkEnd w:id="0"/>
      <w:r>
        <w:separator/>
      </w:r>
    </w:p>
  </w:footnote>
  <w:footnote w:type="continuationSeparator" w:id="0">
    <w:p w14:paraId="06696844" w14:textId="77777777" w:rsidR="008B413F" w:rsidRDefault="008B413F" w:rsidP="00A5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F7EA" w14:textId="3B49C225" w:rsidR="00410B65" w:rsidRPr="00E16FBE" w:rsidRDefault="00410B65" w:rsidP="00051E74">
    <w:pPr>
      <w:pStyle w:val="Cabealho"/>
      <w:jc w:val="right"/>
      <w:rPr>
        <w:rFonts w:cstheme="minorHAnsi"/>
        <w:b/>
      </w:rPr>
    </w:pPr>
    <w:r w:rsidRPr="00E16FBE">
      <w:rPr>
        <w:rFonts w:cstheme="minorHAnsi"/>
        <w:b/>
        <w:noProof/>
      </w:rPr>
      <w:drawing>
        <wp:anchor distT="0" distB="0" distL="114300" distR="114300" simplePos="0" relativeHeight="251658240" behindDoc="0" locked="1" layoutInCell="1" allowOverlap="1" wp14:anchorId="350B0B0D" wp14:editId="03B3BE3A">
          <wp:simplePos x="0" y="0"/>
          <wp:positionH relativeFrom="margin">
            <wp:posOffset>0</wp:posOffset>
          </wp:positionH>
          <wp:positionV relativeFrom="paragraph">
            <wp:posOffset>-69215</wp:posOffset>
          </wp:positionV>
          <wp:extent cx="2880000" cy="579600"/>
          <wp:effectExtent l="0" t="0" r="0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timb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6FBE">
      <w:rPr>
        <w:rFonts w:cstheme="minorHAnsi"/>
        <w:b/>
      </w:rPr>
      <w:ptab w:relativeTo="margin" w:alignment="center" w:leader="none"/>
    </w:r>
    <w:r w:rsidRPr="00E16FBE">
      <w:rPr>
        <w:rFonts w:cstheme="minorHAnsi"/>
        <w:b/>
      </w:rPr>
      <w:t xml:space="preserve"> Processo: </w:t>
    </w:r>
    <w:r w:rsidR="00B95D39">
      <w:rPr>
        <w:rFonts w:cstheme="minorHAnsi"/>
        <w:b/>
      </w:rPr>
      <w:t>004001</w:t>
    </w:r>
    <w:r w:rsidR="004A6C99" w:rsidRPr="00E16FBE">
      <w:rPr>
        <w:rFonts w:cstheme="minorHAnsi"/>
        <w:b/>
      </w:rPr>
      <w:t>-</w:t>
    </w:r>
    <w:r w:rsidR="00B95D39">
      <w:rPr>
        <w:rFonts w:cstheme="minorHAnsi"/>
        <w:b/>
      </w:rPr>
      <w:t>08170</w:t>
    </w:r>
  </w:p>
  <w:p w14:paraId="0EDE7A02" w14:textId="779014BB" w:rsidR="0082016C" w:rsidRPr="00E16FBE" w:rsidRDefault="00F4103B" w:rsidP="00E16FBE">
    <w:pPr>
      <w:pStyle w:val="Cabealho"/>
      <w:jc w:val="center"/>
      <w:rPr>
        <w:rFonts w:cstheme="minorHAnsi"/>
        <w:b/>
      </w:rPr>
    </w:pPr>
    <w:r w:rsidRPr="00E16FBE">
      <w:rPr>
        <w:rFonts w:cstheme="minorHAnsi"/>
        <w:b/>
      </w:rPr>
      <w:t xml:space="preserve">          </w:t>
    </w:r>
    <w:r w:rsidR="00410B65" w:rsidRPr="00E16FBE">
      <w:rPr>
        <w:rFonts w:cstheme="minorHAnsi"/>
        <w:b/>
      </w:rPr>
      <w:t>Folha:</w:t>
    </w:r>
  </w:p>
  <w:p w14:paraId="68B2074A" w14:textId="77777777" w:rsidR="00CC7065" w:rsidRPr="00410B65" w:rsidRDefault="00CC7065" w:rsidP="00145A14">
    <w:pPr>
      <w:pStyle w:val="Cabealho"/>
      <w:spacing w:line="480" w:lineRule="auto"/>
      <w:jc w:val="right"/>
      <w:rPr>
        <w:rFonts w:ascii="HelveticaNeueLT Pro 65 Md" w:hAnsi="HelveticaNeueLT Pro 65 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945"/>
    <w:multiLevelType w:val="multilevel"/>
    <w:tmpl w:val="A9AC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213C3A"/>
    <w:multiLevelType w:val="hybridMultilevel"/>
    <w:tmpl w:val="9C5C0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B220B"/>
    <w:multiLevelType w:val="multilevel"/>
    <w:tmpl w:val="8EF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DA2355"/>
    <w:multiLevelType w:val="multilevel"/>
    <w:tmpl w:val="6964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8431C0"/>
    <w:multiLevelType w:val="hybridMultilevel"/>
    <w:tmpl w:val="BA9EC65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77160772">
    <w:abstractNumId w:val="1"/>
  </w:num>
  <w:num w:numId="2" w16cid:durableId="1722904074">
    <w:abstractNumId w:val="3"/>
  </w:num>
  <w:num w:numId="3" w16cid:durableId="210269455">
    <w:abstractNumId w:val="0"/>
  </w:num>
  <w:num w:numId="4" w16cid:durableId="1149247987">
    <w:abstractNumId w:val="2"/>
  </w:num>
  <w:num w:numId="5" w16cid:durableId="516189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21"/>
    <w:rsid w:val="00006195"/>
    <w:rsid w:val="000145EC"/>
    <w:rsid w:val="0001476B"/>
    <w:rsid w:val="00033EE2"/>
    <w:rsid w:val="00044C84"/>
    <w:rsid w:val="00051E74"/>
    <w:rsid w:val="000627EC"/>
    <w:rsid w:val="0007077D"/>
    <w:rsid w:val="00077748"/>
    <w:rsid w:val="00083884"/>
    <w:rsid w:val="000A424D"/>
    <w:rsid w:val="000C1EEF"/>
    <w:rsid w:val="000E00D0"/>
    <w:rsid w:val="000E3D94"/>
    <w:rsid w:val="000F0801"/>
    <w:rsid w:val="0011102B"/>
    <w:rsid w:val="00115DD8"/>
    <w:rsid w:val="00125A46"/>
    <w:rsid w:val="001350FE"/>
    <w:rsid w:val="001353E6"/>
    <w:rsid w:val="00145A14"/>
    <w:rsid w:val="00170EE2"/>
    <w:rsid w:val="001745B9"/>
    <w:rsid w:val="001868AD"/>
    <w:rsid w:val="001958EA"/>
    <w:rsid w:val="001A1901"/>
    <w:rsid w:val="001B1ECE"/>
    <w:rsid w:val="001B6E06"/>
    <w:rsid w:val="001C3362"/>
    <w:rsid w:val="001D0DE8"/>
    <w:rsid w:val="001D78F6"/>
    <w:rsid w:val="001E4C74"/>
    <w:rsid w:val="001F39E3"/>
    <w:rsid w:val="00202D7E"/>
    <w:rsid w:val="00207266"/>
    <w:rsid w:val="00216CE8"/>
    <w:rsid w:val="0022174F"/>
    <w:rsid w:val="00227E41"/>
    <w:rsid w:val="00232CA2"/>
    <w:rsid w:val="0024670E"/>
    <w:rsid w:val="0027319D"/>
    <w:rsid w:val="0027799A"/>
    <w:rsid w:val="00277FA3"/>
    <w:rsid w:val="0028132C"/>
    <w:rsid w:val="002949E7"/>
    <w:rsid w:val="002C0097"/>
    <w:rsid w:val="002C373F"/>
    <w:rsid w:val="002C74BB"/>
    <w:rsid w:val="002D4194"/>
    <w:rsid w:val="002D5D71"/>
    <w:rsid w:val="002E13BB"/>
    <w:rsid w:val="002E1D07"/>
    <w:rsid w:val="002E321F"/>
    <w:rsid w:val="002E3F6E"/>
    <w:rsid w:val="002E5A39"/>
    <w:rsid w:val="002F2AA5"/>
    <w:rsid w:val="00301F2E"/>
    <w:rsid w:val="00307BFE"/>
    <w:rsid w:val="00310AD8"/>
    <w:rsid w:val="00316ACC"/>
    <w:rsid w:val="003251ED"/>
    <w:rsid w:val="00336A41"/>
    <w:rsid w:val="003370BE"/>
    <w:rsid w:val="00344FE9"/>
    <w:rsid w:val="00346A24"/>
    <w:rsid w:val="00350C9F"/>
    <w:rsid w:val="00356DB7"/>
    <w:rsid w:val="003610ED"/>
    <w:rsid w:val="0036119E"/>
    <w:rsid w:val="003654E5"/>
    <w:rsid w:val="0036673B"/>
    <w:rsid w:val="00382ABE"/>
    <w:rsid w:val="0039233F"/>
    <w:rsid w:val="003A32ED"/>
    <w:rsid w:val="003A7BB5"/>
    <w:rsid w:val="003C0144"/>
    <w:rsid w:val="003C071C"/>
    <w:rsid w:val="003C2673"/>
    <w:rsid w:val="003C4DBB"/>
    <w:rsid w:val="003D197E"/>
    <w:rsid w:val="003D2463"/>
    <w:rsid w:val="003F78B3"/>
    <w:rsid w:val="004012A2"/>
    <w:rsid w:val="004062EB"/>
    <w:rsid w:val="0041010E"/>
    <w:rsid w:val="00410B65"/>
    <w:rsid w:val="004310C9"/>
    <w:rsid w:val="00433224"/>
    <w:rsid w:val="00444347"/>
    <w:rsid w:val="00456E36"/>
    <w:rsid w:val="00460908"/>
    <w:rsid w:val="00472D87"/>
    <w:rsid w:val="004730C0"/>
    <w:rsid w:val="004744D7"/>
    <w:rsid w:val="004757B2"/>
    <w:rsid w:val="00486AFB"/>
    <w:rsid w:val="004927F7"/>
    <w:rsid w:val="004A6C99"/>
    <w:rsid w:val="004B5DE3"/>
    <w:rsid w:val="004B704B"/>
    <w:rsid w:val="004D56D3"/>
    <w:rsid w:val="004D70CD"/>
    <w:rsid w:val="004E076C"/>
    <w:rsid w:val="004E3725"/>
    <w:rsid w:val="004E45AB"/>
    <w:rsid w:val="004E6A98"/>
    <w:rsid w:val="004F418F"/>
    <w:rsid w:val="00504935"/>
    <w:rsid w:val="00525A76"/>
    <w:rsid w:val="00557093"/>
    <w:rsid w:val="00563FA3"/>
    <w:rsid w:val="00575AF0"/>
    <w:rsid w:val="00581005"/>
    <w:rsid w:val="0058240D"/>
    <w:rsid w:val="00592052"/>
    <w:rsid w:val="005A3B11"/>
    <w:rsid w:val="005A67C6"/>
    <w:rsid w:val="005B2C05"/>
    <w:rsid w:val="005B31AD"/>
    <w:rsid w:val="005B6426"/>
    <w:rsid w:val="005C34A8"/>
    <w:rsid w:val="005C3E30"/>
    <w:rsid w:val="005D326A"/>
    <w:rsid w:val="005D5D1C"/>
    <w:rsid w:val="005E7484"/>
    <w:rsid w:val="005F29B2"/>
    <w:rsid w:val="005F7194"/>
    <w:rsid w:val="005F7279"/>
    <w:rsid w:val="006006CB"/>
    <w:rsid w:val="00601D60"/>
    <w:rsid w:val="0060241B"/>
    <w:rsid w:val="00605ED5"/>
    <w:rsid w:val="00613EB6"/>
    <w:rsid w:val="00640979"/>
    <w:rsid w:val="006527FB"/>
    <w:rsid w:val="006607D7"/>
    <w:rsid w:val="0068089F"/>
    <w:rsid w:val="00695EC8"/>
    <w:rsid w:val="00696834"/>
    <w:rsid w:val="006A37B1"/>
    <w:rsid w:val="006B0C6A"/>
    <w:rsid w:val="006B43F2"/>
    <w:rsid w:val="006C43DA"/>
    <w:rsid w:val="006D0C6C"/>
    <w:rsid w:val="00704299"/>
    <w:rsid w:val="00706AFB"/>
    <w:rsid w:val="0073521C"/>
    <w:rsid w:val="00737214"/>
    <w:rsid w:val="00743BDB"/>
    <w:rsid w:val="007612BB"/>
    <w:rsid w:val="00766130"/>
    <w:rsid w:val="007700DD"/>
    <w:rsid w:val="0077321D"/>
    <w:rsid w:val="00773FF6"/>
    <w:rsid w:val="007A67AB"/>
    <w:rsid w:val="007B396B"/>
    <w:rsid w:val="007E2239"/>
    <w:rsid w:val="00803816"/>
    <w:rsid w:val="008048A6"/>
    <w:rsid w:val="0082016C"/>
    <w:rsid w:val="00820966"/>
    <w:rsid w:val="008277FD"/>
    <w:rsid w:val="00854F35"/>
    <w:rsid w:val="00862511"/>
    <w:rsid w:val="008631FC"/>
    <w:rsid w:val="00866DAC"/>
    <w:rsid w:val="0087047B"/>
    <w:rsid w:val="0087516E"/>
    <w:rsid w:val="00884B73"/>
    <w:rsid w:val="008A1C20"/>
    <w:rsid w:val="008A40A2"/>
    <w:rsid w:val="008B413F"/>
    <w:rsid w:val="008E574D"/>
    <w:rsid w:val="008F0F6D"/>
    <w:rsid w:val="008F19A6"/>
    <w:rsid w:val="008F4CBC"/>
    <w:rsid w:val="009010D1"/>
    <w:rsid w:val="00915073"/>
    <w:rsid w:val="00915194"/>
    <w:rsid w:val="009217CB"/>
    <w:rsid w:val="00923AF5"/>
    <w:rsid w:val="009241E6"/>
    <w:rsid w:val="009257DD"/>
    <w:rsid w:val="009540C2"/>
    <w:rsid w:val="0097186B"/>
    <w:rsid w:val="00971F4C"/>
    <w:rsid w:val="00980D5F"/>
    <w:rsid w:val="00983634"/>
    <w:rsid w:val="00991AC3"/>
    <w:rsid w:val="00997AC5"/>
    <w:rsid w:val="009B06C1"/>
    <w:rsid w:val="009B701B"/>
    <w:rsid w:val="009C2963"/>
    <w:rsid w:val="009D467D"/>
    <w:rsid w:val="00A119CF"/>
    <w:rsid w:val="00A210DF"/>
    <w:rsid w:val="00A43785"/>
    <w:rsid w:val="00A44FEA"/>
    <w:rsid w:val="00A56E53"/>
    <w:rsid w:val="00A575AD"/>
    <w:rsid w:val="00A60182"/>
    <w:rsid w:val="00A71E19"/>
    <w:rsid w:val="00A91BF9"/>
    <w:rsid w:val="00AB151A"/>
    <w:rsid w:val="00AB2337"/>
    <w:rsid w:val="00AD64EB"/>
    <w:rsid w:val="00AE1773"/>
    <w:rsid w:val="00AE66A2"/>
    <w:rsid w:val="00AF04C2"/>
    <w:rsid w:val="00B00585"/>
    <w:rsid w:val="00B167BB"/>
    <w:rsid w:val="00B2787E"/>
    <w:rsid w:val="00B27A64"/>
    <w:rsid w:val="00B421F9"/>
    <w:rsid w:val="00B43026"/>
    <w:rsid w:val="00B46451"/>
    <w:rsid w:val="00B57E27"/>
    <w:rsid w:val="00B67FE6"/>
    <w:rsid w:val="00B70F21"/>
    <w:rsid w:val="00B90C11"/>
    <w:rsid w:val="00B91530"/>
    <w:rsid w:val="00B91C13"/>
    <w:rsid w:val="00B93284"/>
    <w:rsid w:val="00B95D39"/>
    <w:rsid w:val="00B97E8A"/>
    <w:rsid w:val="00BC27B4"/>
    <w:rsid w:val="00BC465A"/>
    <w:rsid w:val="00BD4928"/>
    <w:rsid w:val="00BD5084"/>
    <w:rsid w:val="00BE18C0"/>
    <w:rsid w:val="00BE340A"/>
    <w:rsid w:val="00BF0E81"/>
    <w:rsid w:val="00BF110C"/>
    <w:rsid w:val="00C13BEC"/>
    <w:rsid w:val="00C16262"/>
    <w:rsid w:val="00C21FB2"/>
    <w:rsid w:val="00C26789"/>
    <w:rsid w:val="00C307DE"/>
    <w:rsid w:val="00C53D19"/>
    <w:rsid w:val="00C7007F"/>
    <w:rsid w:val="00C809FE"/>
    <w:rsid w:val="00C83395"/>
    <w:rsid w:val="00C90F26"/>
    <w:rsid w:val="00C974B9"/>
    <w:rsid w:val="00C9792F"/>
    <w:rsid w:val="00CA025C"/>
    <w:rsid w:val="00CC5AEA"/>
    <w:rsid w:val="00CC7065"/>
    <w:rsid w:val="00CD2732"/>
    <w:rsid w:val="00CD64C9"/>
    <w:rsid w:val="00CE38F9"/>
    <w:rsid w:val="00CE55C3"/>
    <w:rsid w:val="00CE58DA"/>
    <w:rsid w:val="00D02BD9"/>
    <w:rsid w:val="00D107CB"/>
    <w:rsid w:val="00D17A13"/>
    <w:rsid w:val="00D306A8"/>
    <w:rsid w:val="00D421D8"/>
    <w:rsid w:val="00D60788"/>
    <w:rsid w:val="00D62433"/>
    <w:rsid w:val="00D7287B"/>
    <w:rsid w:val="00D83167"/>
    <w:rsid w:val="00DA2B99"/>
    <w:rsid w:val="00DA753D"/>
    <w:rsid w:val="00DA7E47"/>
    <w:rsid w:val="00DB2155"/>
    <w:rsid w:val="00DB3CCB"/>
    <w:rsid w:val="00DC200B"/>
    <w:rsid w:val="00DC4D6B"/>
    <w:rsid w:val="00DD034F"/>
    <w:rsid w:val="00DD2F33"/>
    <w:rsid w:val="00DD5532"/>
    <w:rsid w:val="00DE677D"/>
    <w:rsid w:val="00DF0723"/>
    <w:rsid w:val="00E02971"/>
    <w:rsid w:val="00E02C70"/>
    <w:rsid w:val="00E16FBE"/>
    <w:rsid w:val="00E20465"/>
    <w:rsid w:val="00E21111"/>
    <w:rsid w:val="00E23C24"/>
    <w:rsid w:val="00E30949"/>
    <w:rsid w:val="00E31CC1"/>
    <w:rsid w:val="00E36496"/>
    <w:rsid w:val="00E401E9"/>
    <w:rsid w:val="00E45247"/>
    <w:rsid w:val="00E55952"/>
    <w:rsid w:val="00E96004"/>
    <w:rsid w:val="00EA1B27"/>
    <w:rsid w:val="00EA4AD2"/>
    <w:rsid w:val="00EA4C80"/>
    <w:rsid w:val="00EA7F9C"/>
    <w:rsid w:val="00EB284F"/>
    <w:rsid w:val="00ED785B"/>
    <w:rsid w:val="00EE6552"/>
    <w:rsid w:val="00EE7E26"/>
    <w:rsid w:val="00EF333C"/>
    <w:rsid w:val="00F01625"/>
    <w:rsid w:val="00F0595A"/>
    <w:rsid w:val="00F22946"/>
    <w:rsid w:val="00F246FA"/>
    <w:rsid w:val="00F259D9"/>
    <w:rsid w:val="00F26BB8"/>
    <w:rsid w:val="00F3044F"/>
    <w:rsid w:val="00F3239B"/>
    <w:rsid w:val="00F400C6"/>
    <w:rsid w:val="00F40B93"/>
    <w:rsid w:val="00F4103B"/>
    <w:rsid w:val="00F414E9"/>
    <w:rsid w:val="00F50A7F"/>
    <w:rsid w:val="00F57EF9"/>
    <w:rsid w:val="00F9050D"/>
    <w:rsid w:val="00F918FD"/>
    <w:rsid w:val="00F92BE5"/>
    <w:rsid w:val="00F950DE"/>
    <w:rsid w:val="00F966DB"/>
    <w:rsid w:val="00F96FAF"/>
    <w:rsid w:val="00FD3721"/>
    <w:rsid w:val="00FE0CFC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C31065"/>
  <w15:docId w15:val="{C510DB21-5B5D-4BEB-B15B-4184142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AF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1D0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5194"/>
    <w:pPr>
      <w:spacing w:after="0" w:line="240" w:lineRule="auto"/>
      <w:ind w:left="720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AD"/>
  </w:style>
  <w:style w:type="paragraph" w:styleId="Rodap">
    <w:name w:val="footer"/>
    <w:basedOn w:val="Normal"/>
    <w:link w:val="Rodap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AD"/>
  </w:style>
  <w:style w:type="character" w:customStyle="1" w:styleId="TextodeEspaoReservado">
    <w:name w:val="Texto de Espaço Reservado"/>
    <w:basedOn w:val="Fontepargpadro"/>
    <w:uiPriority w:val="99"/>
    <w:semiHidden/>
    <w:rsid w:val="00854F35"/>
    <w:rPr>
      <w:color w:val="808080"/>
    </w:rPr>
  </w:style>
  <w:style w:type="table" w:styleId="SimplesTabela2">
    <w:name w:val="Plain Table 2"/>
    <w:basedOn w:val="Tabelanormal"/>
    <w:uiPriority w:val="42"/>
    <w:rsid w:val="00145A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048A6"/>
    <w:pPr>
      <w:spacing w:after="0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8048A6"/>
    <w:rPr>
      <w:i/>
      <w:iCs/>
    </w:rPr>
  </w:style>
  <w:style w:type="character" w:styleId="Forte">
    <w:name w:val="Strong"/>
    <w:basedOn w:val="Fontepargpadro"/>
    <w:uiPriority w:val="22"/>
    <w:qFormat/>
    <w:rsid w:val="008048A6"/>
    <w:rPr>
      <w:b/>
      <w:bCs/>
    </w:rPr>
  </w:style>
  <w:style w:type="character" w:customStyle="1" w:styleId="gmail-fontstyle01">
    <w:name w:val="gmail-fontstyle01"/>
    <w:basedOn w:val="Fontepargpadro"/>
    <w:rsid w:val="00444347"/>
  </w:style>
  <w:style w:type="character" w:styleId="Refdecomentrio">
    <w:name w:val="annotation reference"/>
    <w:basedOn w:val="Fontepargpadro"/>
    <w:uiPriority w:val="99"/>
    <w:semiHidden/>
    <w:unhideWhenUsed/>
    <w:rsid w:val="004E07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07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07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07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076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95EC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B6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6696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174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867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75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37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22120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406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257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7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as.tcu.gov.br/sagas/SvlVisualizarRelVotoAcRtf?codFiltro=SAGAS-SESSAO-ENCERRADA&amp;seOcultaPagina=S&amp;item0=7898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squisa.apps.tcu.gov.br/documento/acordao-completo/*/NUMACORDAO%3A7164%20ANOACORDAO%3A2020%20COLEGIADO%3A%22Segunda%20C%C3%A2mara%22/DTRELEVANCIA%20desc%2C%20NUMACORDAOINT%20desc/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as.tcu.gov.br/sagas/SvlVisualizarRelVotoAcRtf?codFiltro=SAGAS-SESSAO-ENCERRADA&amp;seOcultaPagina=S&amp;item0=4579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ertexaisearch.cloud.google.com/grounding-api-redirect/AUZIYQHQ8Dn3nU9nnQB-dwDMDkkk9pdozcqcEbhxg08e-Sf1nYH1ArWhyTNU27wNovd_oxHPs-q9PF97cZ1uMu_DzXy0048Cq7ki-CNna_-YKjQaQnJk4JmAbQIB0wETo-u13ZKE4yASQWmYlLL54ChwUa7lRJ4XaEvqFWregAQTDkep47zFv3ceB8CXQ7pJki1Jz4BKHANKrZHUnYE_9kS2tG53Z-0rxx8oWpS8iD9frFqTdcn2vLJuznMhuGFMQILR3efzR-8aV6xvQk-OEZeIDbxKX13lNF5up892wBuUGa_ECkrwi-zBP5G23aVyyB1pzUuCd9KAJ-Ocmw-6_dM_NfmpD-ZhZnnBlX7JoJ7C_YQsKdIwzb8AW2HzQ5VEBZL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jmlgrupo.com.br/author/danielle-regi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AEF75CEF1D748B49EFA69130C88AB" ma:contentTypeVersion="1" ma:contentTypeDescription="Crie um novo documento." ma:contentTypeScope="" ma:versionID="b971ce0877d0af5308512ddce792f6e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4f34f6c1ab327de4b0758c56ad8d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1F701-9E89-4954-9D01-458E3970A9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7C79D2-4920-442D-8808-40BFF895D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79182-DB31-448E-96CF-6B2088E49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4A68D-072E-4321-B468-92ECFE09D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2005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Diniz Alves</dc:creator>
  <cp:lastModifiedBy>Wanessa Peres Rabelo</cp:lastModifiedBy>
  <cp:revision>19</cp:revision>
  <cp:lastPrinted>2025-07-23T13:18:00Z</cp:lastPrinted>
  <dcterms:created xsi:type="dcterms:W3CDTF">2020-08-26T11:12:00Z</dcterms:created>
  <dcterms:modified xsi:type="dcterms:W3CDTF">2025-07-23T13:38:00Z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0x0101000F4AEF75CEF1D748B49EFA69130C88AB</vt:lpwstr>
  </property>
</Properties>
</file>